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550"/>
        <w:rPr>
          <w:rFonts w:ascii="方正小标宋简体" w:hAnsi="华文中宋" w:eastAsia="方正小标宋简体"/>
          <w:bCs/>
          <w:color w:val="FF0000"/>
          <w:spacing w:val="80"/>
          <w:w w:val="66"/>
          <w:sz w:val="110"/>
          <w:szCs w:val="110"/>
        </w:rPr>
      </w:pPr>
      <w:r>
        <w:rPr>
          <w:rFonts w:hint="eastAsia" w:ascii="方正小标宋简体" w:hAnsi="华文中宋" w:eastAsia="方正小标宋简体" w:cs="方正小标宋简体"/>
          <w:bCs/>
          <w:color w:val="FF0000"/>
          <w:spacing w:val="1"/>
          <w:w w:val="69"/>
          <w:kern w:val="0"/>
          <w:sz w:val="110"/>
          <w:szCs w:val="110"/>
          <w:fitText w:val="8439" w:id="-1673810432"/>
        </w:rPr>
        <w:t>安康市残疾人联合会文</w:t>
      </w:r>
      <w:r>
        <w:rPr>
          <w:rFonts w:hint="eastAsia" w:ascii="方正小标宋简体" w:hAnsi="华文中宋" w:eastAsia="方正小标宋简体" w:cs="方正小标宋简体"/>
          <w:bCs/>
          <w:color w:val="FF0000"/>
          <w:spacing w:val="74"/>
          <w:w w:val="69"/>
          <w:kern w:val="0"/>
          <w:sz w:val="110"/>
          <w:szCs w:val="110"/>
          <w:fitText w:val="8439" w:id="-1673810432"/>
        </w:rPr>
        <w:t>件</w:t>
      </w:r>
    </w:p>
    <w:p>
      <w:pPr>
        <w:rPr>
          <w:rFonts w:ascii="仿宋_GB2312"/>
          <w:color w:val="000000"/>
        </w:rPr>
      </w:pPr>
    </w:p>
    <w:p>
      <w:pPr>
        <w:rPr>
          <w:rFonts w:ascii="仿宋_GB2312"/>
          <w:color w:val="000000"/>
        </w:rPr>
      </w:pPr>
    </w:p>
    <w:p>
      <w:pPr>
        <w:spacing w:line="720" w:lineRule="exact"/>
        <w:jc w:val="center"/>
        <w:rPr>
          <w:rFonts w:ascii="仿宋_GB2312" w:eastAsia="仿宋_GB2312"/>
          <w:color w:val="000000"/>
          <w:sz w:val="32"/>
          <w:szCs w:val="32"/>
        </w:rPr>
      </w:pPr>
      <w:r>
        <w:rPr>
          <w:rFonts w:hint="eastAsia" w:ascii="仿宋_GB2312" w:eastAsia="仿宋_GB2312" w:cs="仿宋_GB2312"/>
          <w:color w:val="000000"/>
          <w:spacing w:val="1"/>
          <w:w w:val="97"/>
          <w:kern w:val="0"/>
          <w:sz w:val="32"/>
          <w:szCs w:val="32"/>
          <w:fitText w:val="3200" w:id="-1673810431"/>
        </w:rPr>
        <w:t>安残联发</w:t>
      </w:r>
      <w:r>
        <w:rPr>
          <w:rFonts w:hint="eastAsia" w:ascii="仿宋_GB2312" w:hAnsi="宋体" w:eastAsia="仿宋_GB2312" w:cs="仿宋_GB2312"/>
          <w:spacing w:val="1"/>
          <w:w w:val="97"/>
          <w:kern w:val="0"/>
          <w:sz w:val="32"/>
          <w:szCs w:val="32"/>
          <w:fitText w:val="3200" w:id="-1673810431"/>
        </w:rPr>
        <w:t>〔</w:t>
      </w:r>
      <w:r>
        <w:rPr>
          <w:rFonts w:hint="eastAsia" w:ascii="仿宋_GB2312" w:hAnsi="宋体" w:eastAsia="仿宋_GB2312" w:cs="宋体"/>
          <w:spacing w:val="1"/>
          <w:w w:val="97"/>
          <w:kern w:val="0"/>
          <w:sz w:val="32"/>
          <w:szCs w:val="32"/>
          <w:fitText w:val="3200" w:id="-1673810431"/>
        </w:rPr>
        <w:t>2021</w:t>
      </w:r>
      <w:r>
        <w:rPr>
          <w:rFonts w:hint="eastAsia" w:ascii="仿宋_GB2312" w:hAnsi="宋体" w:eastAsia="仿宋_GB2312" w:cs="仿宋_GB2312"/>
          <w:spacing w:val="1"/>
          <w:w w:val="97"/>
          <w:kern w:val="0"/>
          <w:sz w:val="32"/>
          <w:szCs w:val="32"/>
          <w:fitText w:val="3200" w:id="-1673810431"/>
        </w:rPr>
        <w:t>〕80</w:t>
      </w:r>
      <w:r>
        <w:rPr>
          <w:rFonts w:hint="eastAsia" w:ascii="仿宋_GB2312" w:eastAsia="仿宋_GB2312" w:cs="仿宋_GB2312"/>
          <w:color w:val="000000"/>
          <w:spacing w:val="4"/>
          <w:w w:val="97"/>
          <w:kern w:val="0"/>
          <w:sz w:val="32"/>
          <w:szCs w:val="32"/>
          <w:fitText w:val="3200" w:id="-1673810431"/>
        </w:rPr>
        <w:t>号</w:t>
      </w:r>
    </w:p>
    <w:p>
      <w:pPr>
        <w:rPr>
          <w:rFonts w:ascii="仿宋_GB2312"/>
          <w:color w:val="000000"/>
        </w:rPr>
      </w:pPr>
      <w:r>
        <w:pict>
          <v:line id="_x0000_s2050" o:spid="_x0000_s2050" o:spt="20" style="position:absolute;left:0pt;margin-left:-13.3pt;margin-top:5.45pt;height:0pt;width:468pt;z-index:251658240;mso-width-relative:page;mso-height-relative:page;" stroked="t" coordsize="21600,21600" o:gfxdata="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GU82f1gAAAAkBAAAPAAAAAAAAAAEAIAAAACIA&#10;AABkcnMvZG93bnJldi54bWxQSwECFAAUAAAACACHTuJAx6meWdIBAACOAwAADgAAAAAAAAABACAA&#10;AAAlAQAAZHJzL2Uyb0RvYy54bWxQSwUGAAAAAAYABgBZAQAAaQUAAAAA&#10;">
            <v:path arrowok="t"/>
            <v:fill focussize="0,0"/>
            <v:stroke weight="2.25pt" color="#FF0000"/>
            <v:imagedata o:title=""/>
            <o:lock v:ext="edit"/>
          </v:line>
        </w:pict>
      </w:r>
    </w:p>
    <w:p>
      <w:pPr>
        <w:snapToGrid w:val="0"/>
        <w:spacing w:line="520" w:lineRule="exact"/>
        <w:jc w:val="center"/>
        <w:rPr>
          <w:rFonts w:ascii="方正小标宋简体" w:hAnsi="华文宋体" w:eastAsia="方正小标宋简体"/>
          <w:color w:val="000000"/>
          <w:spacing w:val="20"/>
          <w:sz w:val="44"/>
          <w:szCs w:val="44"/>
        </w:rPr>
      </w:pPr>
    </w:p>
    <w:p>
      <w:pPr>
        <w:spacing w:line="520" w:lineRule="exact"/>
        <w:jc w:val="center"/>
        <w:rPr>
          <w:rFonts w:hint="eastAsia" w:ascii="方正小标宋简体" w:hAnsi="方正小标宋简体" w:eastAsia="方正小标宋简体" w:cs="方正小标宋简体"/>
          <w:spacing w:val="20"/>
          <w:sz w:val="44"/>
          <w:szCs w:val="44"/>
        </w:rPr>
      </w:pPr>
      <w:r>
        <w:rPr>
          <w:rFonts w:hint="eastAsia" w:ascii="方正小标宋简体" w:hAnsi="方正小标宋简体" w:eastAsia="方正小标宋简体" w:cs="方正小标宋简体"/>
          <w:spacing w:val="20"/>
          <w:sz w:val="44"/>
          <w:szCs w:val="44"/>
        </w:rPr>
        <w:t>安康市残疾人联合会</w:t>
      </w:r>
    </w:p>
    <w:p>
      <w:pPr>
        <w:spacing w:line="520" w:lineRule="exact"/>
        <w:jc w:val="center"/>
        <w:rPr>
          <w:rFonts w:hint="eastAsia" w:ascii="方正小标宋简体" w:hAnsi="仿宋" w:eastAsia="方正小标宋简体" w:cs="仿宋"/>
          <w:spacing w:val="-8"/>
          <w:sz w:val="44"/>
          <w:szCs w:val="44"/>
        </w:rPr>
      </w:pPr>
      <w:r>
        <w:rPr>
          <w:rFonts w:hint="eastAsia" w:ascii="方正小标宋简体" w:hAnsi="仿宋" w:eastAsia="方正小标宋简体" w:cs="仿宋"/>
          <w:spacing w:val="-8"/>
          <w:sz w:val="44"/>
          <w:szCs w:val="44"/>
        </w:rPr>
        <w:t>关于转发岚皋县残疾人“阳光家庭”试点工作经验的</w:t>
      </w:r>
      <w:bookmarkStart w:id="0" w:name="_GoBack"/>
      <w:bookmarkEnd w:id="0"/>
      <w:r>
        <w:rPr>
          <w:rFonts w:hint="eastAsia" w:ascii="方正小标宋简体" w:hAnsi="仿宋" w:eastAsia="方正小标宋简体" w:cs="仿宋"/>
          <w:spacing w:val="-8"/>
          <w:sz w:val="44"/>
          <w:szCs w:val="44"/>
        </w:rPr>
        <w:t>通知</w:t>
      </w:r>
    </w:p>
    <w:p>
      <w:pPr>
        <w:spacing w:line="480" w:lineRule="exact"/>
        <w:ind w:firstLine="640" w:firstLineChars="200"/>
        <w:rPr>
          <w:rFonts w:hint="eastAsia" w:ascii="仿宋_GB2312" w:hAnsi="仿宋" w:eastAsia="仿宋_GB2312" w:cs="仿宋"/>
          <w:sz w:val="32"/>
          <w:szCs w:val="32"/>
        </w:rPr>
      </w:pPr>
    </w:p>
    <w:p>
      <w:pPr>
        <w:spacing w:line="460" w:lineRule="exact"/>
        <w:rPr>
          <w:rFonts w:hint="eastAsia" w:ascii="仿宋_GB2312" w:hAnsi="仿宋" w:eastAsia="仿宋_GB2312" w:cs="仿宋"/>
          <w:sz w:val="32"/>
          <w:szCs w:val="32"/>
        </w:rPr>
      </w:pPr>
      <w:r>
        <w:rPr>
          <w:rFonts w:hint="eastAsia" w:ascii="仿宋_GB2312" w:hAnsi="仿宋" w:eastAsia="仿宋_GB2312" w:cs="仿宋"/>
          <w:sz w:val="32"/>
          <w:szCs w:val="32"/>
        </w:rPr>
        <w:t>各县（市、区）残联：</w:t>
      </w:r>
    </w:p>
    <w:p>
      <w:pPr>
        <w:spacing w:line="46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今年以来，岚皋县积极开展残疾人”阳光家庭”试点工作，通过一年的探索，取得了良好工作成效。按照市政府领导批示精神，现将岚皋县残疾人“阳光家庭”试点工作经验转发给你们，请认真学习借鉴，结合实际做好残疾人托养服务工作。</w:t>
      </w:r>
    </w:p>
    <w:p>
      <w:pPr>
        <w:spacing w:line="460" w:lineRule="exact"/>
        <w:ind w:firstLine="640" w:firstLineChars="200"/>
        <w:rPr>
          <w:rFonts w:hint="eastAsia" w:ascii="仿宋_GB2312" w:hAnsi="仿宋" w:eastAsia="仿宋_GB2312" w:cs="仿宋"/>
          <w:sz w:val="32"/>
          <w:szCs w:val="32"/>
        </w:rPr>
      </w:pPr>
    </w:p>
    <w:p>
      <w:pPr>
        <w:spacing w:line="460" w:lineRule="exact"/>
        <w:ind w:firstLine="640" w:firstLineChars="200"/>
        <w:rPr>
          <w:rFonts w:hint="eastAsia" w:ascii="仿宋_GB2312" w:hAnsi="仿宋" w:eastAsia="仿宋_GB2312" w:cs="仿宋"/>
          <w:sz w:val="32"/>
          <w:szCs w:val="32"/>
        </w:rPr>
      </w:pPr>
    </w:p>
    <w:p>
      <w:pPr>
        <w:spacing w:line="460" w:lineRule="exact"/>
        <w:ind w:firstLine="640" w:firstLineChars="200"/>
        <w:rPr>
          <w:rFonts w:hint="eastAsia" w:ascii="仿宋_GB2312" w:hAnsi="仿宋" w:eastAsia="仿宋_GB2312" w:cs="仿宋"/>
          <w:sz w:val="32"/>
          <w:szCs w:val="32"/>
        </w:rPr>
      </w:pPr>
      <w:r>
        <w:rPr>
          <w:rFonts w:hint="eastAsia" w:ascii="仿宋_GB2312" w:hAnsi="仿宋" w:eastAsia="仿宋_GB2312" w:cs="仿宋"/>
          <w:sz w:val="32"/>
          <w:szCs w:val="32"/>
        </w:rPr>
        <w:t xml:space="preserve">                           安康市残疾人联合会</w:t>
      </w:r>
    </w:p>
    <w:p>
      <w:pPr>
        <w:spacing w:line="460" w:lineRule="exact"/>
        <w:ind w:firstLine="2560" w:firstLineChars="800"/>
        <w:rPr>
          <w:rFonts w:hint="eastAsia" w:ascii="仿宋_GB2312" w:hAnsi="仿宋" w:eastAsia="仿宋_GB2312" w:cs="仿宋"/>
          <w:sz w:val="32"/>
          <w:szCs w:val="32"/>
        </w:rPr>
      </w:pPr>
      <w:r>
        <w:rPr>
          <w:rFonts w:hint="eastAsia" w:ascii="仿宋_GB2312" w:hAnsi="仿宋" w:eastAsia="仿宋_GB2312" w:cs="仿宋"/>
          <w:sz w:val="32"/>
          <w:szCs w:val="32"/>
        </w:rPr>
        <w:t xml:space="preserve">                2021年12月7日</w:t>
      </w:r>
    </w:p>
    <w:p>
      <w:pPr>
        <w:pStyle w:val="2"/>
      </w:pPr>
    </w:p>
    <w:p>
      <w:pPr>
        <w:pBdr>
          <w:top w:val="single" w:color="auto" w:sz="4" w:space="1"/>
          <w:bottom w:val="single" w:color="auto" w:sz="4" w:space="1"/>
        </w:pBdr>
        <w:spacing w:line="480" w:lineRule="exact"/>
        <w:ind w:firstLine="140" w:firstLineChars="50"/>
        <w:rPr>
          <w:rFonts w:hint="eastAsia" w:ascii="仿宋_GB2312" w:hAnsi="仿宋" w:eastAsia="仿宋_GB2312" w:cs="仿宋"/>
          <w:sz w:val="28"/>
          <w:szCs w:val="28"/>
        </w:rPr>
      </w:pPr>
      <w:r>
        <w:rPr>
          <w:rFonts w:hint="eastAsia" w:ascii="仿宋_GB2312" w:hAnsi="仿宋" w:eastAsia="仿宋_GB2312" w:cs="仿宋"/>
          <w:sz w:val="28"/>
          <w:szCs w:val="28"/>
        </w:rPr>
        <w:t>抄送：省残联</w:t>
      </w:r>
    </w:p>
    <w:p>
      <w:pPr>
        <w:pStyle w:val="2"/>
        <w:pBdr>
          <w:bottom w:val="single" w:color="auto" w:sz="4" w:space="1"/>
        </w:pBdr>
        <w:spacing w:line="480" w:lineRule="exact"/>
        <w:ind w:firstLine="140" w:firstLineChars="50"/>
        <w:rPr>
          <w:rFonts w:hint="eastAsia" w:ascii="仿宋_GB2312" w:eastAsia="仿宋_GB2312"/>
          <w:sz w:val="28"/>
          <w:szCs w:val="28"/>
        </w:rPr>
      </w:pPr>
      <w:r>
        <w:rPr>
          <w:rFonts w:hint="eastAsia" w:ascii="仿宋_GB2312" w:eastAsia="仿宋_GB2312"/>
          <w:sz w:val="28"/>
          <w:szCs w:val="28"/>
        </w:rPr>
        <w:t>安康市残疾人联合会办公室                 2021年12月7日印</w:t>
      </w:r>
    </w:p>
    <w:p>
      <w:pPr>
        <w:spacing w:line="540" w:lineRule="exact"/>
        <w:jc w:val="center"/>
        <w:rPr>
          <w:rFonts w:ascii="方正小标宋简体" w:hAnsi="方正小标宋简体" w:eastAsia="方正小标宋简体" w:cs="方正小标宋简体"/>
          <w:spacing w:val="20"/>
          <w:sz w:val="44"/>
          <w:szCs w:val="44"/>
        </w:rPr>
      </w:pPr>
      <w:r>
        <w:rPr>
          <w:rFonts w:hint="eastAsia" w:ascii="方正小标宋简体" w:hAnsi="方正小标宋简体" w:eastAsia="方正小标宋简体" w:cs="方正小标宋简体"/>
          <w:spacing w:val="20"/>
          <w:sz w:val="44"/>
          <w:szCs w:val="44"/>
        </w:rPr>
        <w:t xml:space="preserve"> “四个三”提升残疾人保障水平</w:t>
      </w:r>
    </w:p>
    <w:p>
      <w:pPr>
        <w:spacing w:line="540" w:lineRule="exact"/>
        <w:jc w:val="center"/>
        <w:rPr>
          <w:rFonts w:hint="eastAsia" w:ascii="仿宋_GB2312" w:hAnsi="楷体_GB2312" w:eastAsia="仿宋_GB2312" w:cs="楷体_GB2312"/>
          <w:sz w:val="32"/>
          <w:szCs w:val="32"/>
        </w:rPr>
      </w:pPr>
      <w:r>
        <w:rPr>
          <w:rFonts w:hint="eastAsia" w:ascii="仿宋_GB2312" w:hAnsi="楷体_GB2312" w:eastAsia="仿宋_GB2312" w:cs="楷体_GB2312"/>
          <w:sz w:val="32"/>
          <w:szCs w:val="32"/>
        </w:rPr>
        <w:t>——岚皋县残疾人“阳光家庭”试点项目工作情况</w:t>
      </w:r>
    </w:p>
    <w:p>
      <w:pPr>
        <w:pStyle w:val="2"/>
        <w:spacing w:line="540" w:lineRule="exact"/>
      </w:pPr>
    </w:p>
    <w:p>
      <w:pPr>
        <w:spacing w:line="540" w:lineRule="exact"/>
        <w:ind w:firstLine="640"/>
        <w:rPr>
          <w:rFonts w:ascii="仿宋_GB2312" w:hAnsi="宋体" w:eastAsia="仿宋_GB2312"/>
          <w:sz w:val="32"/>
          <w:szCs w:val="32"/>
        </w:rPr>
      </w:pPr>
      <w:r>
        <w:rPr>
          <w:rFonts w:hint="eastAsia" w:ascii="仿宋_GB2312" w:hAnsi="仿宋_GB2312" w:eastAsia="仿宋_GB2312" w:cs="仿宋_GB2312"/>
          <w:sz w:val="32"/>
          <w:szCs w:val="32"/>
        </w:rPr>
        <w:t>岚皋县有持证残疾人11300人，重度残疾人5440人，需要托养照护残疾人856人。已脱贫残疾人6763户7534人，三类监测残疾人529户611人。为了进一步巩固脱贫攻坚成果，有效解决就业年龄段智力、精神及重度残疾人托养照护难题，实现残疾人家庭就业增收，改善残疾人生活质量，创新实施残疾人“阳光家庭”项目（残疾人居家托养+培训+就业）试点工作，取得了初步成效，现将工作开展情况汇报如下：</w:t>
      </w:r>
    </w:p>
    <w:p>
      <w:pPr>
        <w:pStyle w:val="8"/>
        <w:numPr>
          <w:ilvl w:val="0"/>
          <w:numId w:val="1"/>
        </w:numPr>
        <w:spacing w:line="540" w:lineRule="exact"/>
        <w:ind w:firstLineChars="0"/>
        <w:rPr>
          <w:rFonts w:ascii="黑体" w:hAnsi="黑体" w:eastAsia="黑体" w:cs="黑体"/>
          <w:bCs/>
          <w:sz w:val="32"/>
          <w:szCs w:val="32"/>
        </w:rPr>
      </w:pPr>
      <w:r>
        <w:rPr>
          <w:rFonts w:hint="eastAsia" w:ascii="黑体" w:hAnsi="黑体" w:eastAsia="黑体" w:cs="黑体"/>
          <w:bCs/>
          <w:sz w:val="32"/>
          <w:szCs w:val="32"/>
        </w:rPr>
        <w:t>强化政策支持，做到“三个明确”</w:t>
      </w:r>
    </w:p>
    <w:p>
      <w:pPr>
        <w:spacing w:line="540" w:lineRule="exact"/>
        <w:ind w:firstLine="640"/>
        <w:rPr>
          <w:rFonts w:ascii="仿宋_GB2312" w:hAnsi="仿宋_GB2312" w:eastAsia="仿宋_GB2312" w:cs="仿宋_GB2312"/>
          <w:sz w:val="32"/>
          <w:szCs w:val="32"/>
        </w:rPr>
      </w:pPr>
      <w:r>
        <w:rPr>
          <w:rFonts w:hint="eastAsia" w:ascii="楷体" w:hAnsi="楷体" w:eastAsia="楷体" w:cs="楷体_GB2312"/>
          <w:bCs/>
          <w:sz w:val="32"/>
          <w:szCs w:val="32"/>
        </w:rPr>
        <w:t>一是明确服务对象。</w:t>
      </w:r>
      <w:r>
        <w:rPr>
          <w:rFonts w:hint="eastAsia" w:ascii="仿宋_GB2312" w:hAnsi="仿宋_GB2312" w:eastAsia="仿宋_GB2312" w:cs="仿宋_GB2312"/>
          <w:sz w:val="32"/>
          <w:szCs w:val="32"/>
        </w:rPr>
        <w:t>试点对象必须具有本县户籍且长期居住在当地，处于就业年龄段并无业（男16-59周岁、女16-54周岁）且持有第二代或第三代《中华人民共和国残疾人证》的需要居家托养照护的重度肢体残疾人及智力、精神残疾人；托养服务技能培训对象必须是托养对象的家庭成员或邻居，且满足男16-59周岁、女16-50周岁，有劳动能力，愿意为托养对象提供康复护理基本服务和日间照料，具备接受培训和从事居家托养服务能力的基本条件。</w:t>
      </w:r>
    </w:p>
    <w:p>
      <w:pPr>
        <w:spacing w:line="540" w:lineRule="exact"/>
        <w:ind w:firstLine="640"/>
        <w:rPr>
          <w:rFonts w:ascii="仿宋_GB2312" w:hAnsi="宋体" w:eastAsia="仿宋_GB2312"/>
          <w:sz w:val="32"/>
          <w:szCs w:val="32"/>
        </w:rPr>
      </w:pPr>
      <w:r>
        <w:rPr>
          <w:rFonts w:hint="eastAsia" w:ascii="楷体" w:hAnsi="楷体" w:eastAsia="楷体" w:cs="楷体_GB2312"/>
          <w:bCs/>
          <w:sz w:val="32"/>
          <w:szCs w:val="32"/>
        </w:rPr>
        <w:t>二是明确补贴标准。</w:t>
      </w:r>
      <w:r>
        <w:rPr>
          <w:rFonts w:hint="eastAsia" w:ascii="仿宋_GB2312" w:hAnsi="仿宋_GB2312" w:eastAsia="仿宋_GB2312" w:cs="仿宋_GB2312"/>
          <w:sz w:val="32"/>
          <w:szCs w:val="32"/>
        </w:rPr>
        <w:t>整合使用上级残疾人托养服务补贴资金，残疾人居家托养服务按6个月2500元/人标准执行，托养服务技能培训按1500元/人执行（含技术培训费、资料费、设备费用及残疾人托养服务培训对象培训期间50元/天交通补贴费用等）。经</w:t>
      </w:r>
      <w:r>
        <w:rPr>
          <w:rFonts w:hint="eastAsia" w:ascii="仿宋_GB2312" w:hAnsi="宋体" w:eastAsia="仿宋_GB2312"/>
          <w:sz w:val="32"/>
          <w:szCs w:val="32"/>
        </w:rPr>
        <w:t>承接机构培训后取得技能证书的对象聘用为劳务人员，为托养对象开展照护服务，每月由承接机构上门验收合格后按月发放200元劳务费。</w:t>
      </w:r>
    </w:p>
    <w:p>
      <w:pPr>
        <w:spacing w:line="540" w:lineRule="exact"/>
        <w:ind w:firstLine="640"/>
        <w:rPr>
          <w:rFonts w:ascii="仿宋_GB2312" w:hAnsi="仿宋_GB2312" w:eastAsia="仿宋_GB2312" w:cs="仿宋_GB2312"/>
          <w:sz w:val="32"/>
          <w:szCs w:val="32"/>
        </w:rPr>
      </w:pPr>
      <w:r>
        <w:rPr>
          <w:rFonts w:hint="eastAsia" w:ascii="楷体" w:hAnsi="楷体" w:eastAsia="楷体" w:cs="楷体_GB2312"/>
          <w:bCs/>
          <w:sz w:val="32"/>
          <w:szCs w:val="32"/>
        </w:rPr>
        <w:t>三是明确部门职责。</w:t>
      </w:r>
      <w:r>
        <w:rPr>
          <w:rFonts w:hint="eastAsia" w:ascii="仿宋_GB2312" w:hAnsi="仿宋_GB2312" w:eastAsia="仿宋_GB2312" w:cs="仿宋_GB2312"/>
          <w:sz w:val="32"/>
          <w:szCs w:val="32"/>
        </w:rPr>
        <w:t>县政府办公室印发了《岚皋县2021年残疾人阳光家庭项目试点工作方案》，明确了县残联牵头责任，</w:t>
      </w:r>
      <w:r>
        <w:rPr>
          <w:rFonts w:hint="eastAsia" w:ascii="仿宋_GB2312" w:hAnsi="宋体" w:eastAsia="仿宋_GB2312"/>
          <w:sz w:val="32"/>
          <w:szCs w:val="32"/>
        </w:rPr>
        <w:t>县财政、民政、人社、卫健部门配合责任，城关、民主、佐龙、蔺河4镇的</w:t>
      </w:r>
      <w:r>
        <w:rPr>
          <w:rFonts w:hint="eastAsia" w:ascii="仿宋_GB2312" w:hAnsi="仿宋_GB2312" w:eastAsia="仿宋_GB2312" w:cs="仿宋_GB2312"/>
          <w:sz w:val="32"/>
          <w:szCs w:val="32"/>
        </w:rPr>
        <w:t>组织实施责任。</w:t>
      </w:r>
    </w:p>
    <w:p>
      <w:pPr>
        <w:pStyle w:val="8"/>
        <w:numPr>
          <w:ilvl w:val="0"/>
          <w:numId w:val="1"/>
        </w:numPr>
        <w:spacing w:line="540" w:lineRule="exact"/>
        <w:ind w:firstLineChars="0"/>
        <w:rPr>
          <w:rFonts w:ascii="黑体" w:hAnsi="黑体" w:eastAsia="黑体" w:cs="黑体"/>
          <w:bCs/>
          <w:sz w:val="32"/>
          <w:szCs w:val="32"/>
        </w:rPr>
      </w:pPr>
      <w:r>
        <w:rPr>
          <w:rFonts w:hint="eastAsia" w:ascii="黑体" w:hAnsi="黑体" w:eastAsia="黑体" w:cs="黑体"/>
          <w:bCs/>
          <w:sz w:val="32"/>
          <w:szCs w:val="32"/>
        </w:rPr>
        <w:t xml:space="preserve">严格规范运作，做到“三个精准” </w:t>
      </w:r>
    </w:p>
    <w:p>
      <w:pPr>
        <w:spacing w:line="540" w:lineRule="exact"/>
        <w:ind w:firstLine="640"/>
        <w:rPr>
          <w:rFonts w:ascii="仿宋_GB2312" w:hAnsi="宋体" w:eastAsia="仿宋_GB2312"/>
          <w:sz w:val="32"/>
          <w:szCs w:val="32"/>
        </w:rPr>
      </w:pPr>
      <w:r>
        <w:rPr>
          <w:rFonts w:hint="eastAsia" w:ascii="楷体" w:hAnsi="楷体" w:eastAsia="楷体" w:cs="楷体_GB2312"/>
          <w:bCs/>
          <w:sz w:val="32"/>
          <w:szCs w:val="32"/>
        </w:rPr>
        <w:t>一是精准筛查服务对象。</w:t>
      </w:r>
      <w:r>
        <w:rPr>
          <w:rFonts w:hint="eastAsia" w:ascii="仿宋_GB2312" w:hAnsi="楷体" w:eastAsia="仿宋_GB2312"/>
          <w:sz w:val="32"/>
          <w:szCs w:val="32"/>
        </w:rPr>
        <w:t>坚持</w:t>
      </w:r>
      <w:r>
        <w:rPr>
          <w:rFonts w:hint="eastAsia" w:ascii="仿宋_GB2312" w:hAnsi="宋体" w:eastAsia="仿宋_GB2312"/>
          <w:sz w:val="32"/>
          <w:szCs w:val="32"/>
        </w:rPr>
        <w:t>以解决重度残疾人托养照护困难为目标，充分利用残疾人基础数据，发挥村(社区)残协作用，全面摸清试点镇处于就业年龄段且无业、持有第二代或第三代《中华人民共和国残疾人证》的重度肢体残疾人及智力、精神残疾人托养对象情况，把托养对象家庭成员或邻居作为培训对象，委托承接机构对其进行基本护理和服务培训。</w:t>
      </w:r>
    </w:p>
    <w:p>
      <w:pPr>
        <w:spacing w:line="540" w:lineRule="exact"/>
        <w:ind w:firstLine="640"/>
        <w:rPr>
          <w:rFonts w:ascii="仿宋_GB2312" w:hAnsi="宋体" w:eastAsia="仿宋_GB2312"/>
          <w:sz w:val="32"/>
          <w:szCs w:val="32"/>
        </w:rPr>
      </w:pPr>
      <w:r>
        <w:rPr>
          <w:rFonts w:hint="eastAsia" w:ascii="楷体" w:hAnsi="楷体" w:eastAsia="楷体" w:cs="楷体_GB2312"/>
          <w:bCs/>
          <w:sz w:val="32"/>
          <w:szCs w:val="32"/>
        </w:rPr>
        <w:t>二是精准确定培训内容。</w:t>
      </w:r>
      <w:r>
        <w:rPr>
          <w:rFonts w:hint="eastAsia" w:ascii="仿宋_GB2312" w:hAnsi="宋体" w:eastAsia="仿宋_GB2312"/>
          <w:sz w:val="32"/>
          <w:szCs w:val="32"/>
        </w:rPr>
        <w:t>培训内容以家庭环境保洁、饮食卫生及安全、日常用药、体温、血压、脉搏测量等常见医疗护理技术、常用卧位及基础护理、残疾人康复指导、康复理疗基础技能、运动功能训练、残疾人生活照料、疫情防控知识、消防安全知识、心理辅导、服务礼仪、新民风建设等为主。托养对象的家庭成员或邻居通过培训并经评估、考核和检查合格后，发放残疾人护理员技能证书，并在承接机构的指导下对托养对象进行科学、有针对性地护理。</w:t>
      </w:r>
    </w:p>
    <w:p>
      <w:pPr>
        <w:spacing w:line="540" w:lineRule="exact"/>
        <w:ind w:firstLine="640"/>
        <w:rPr>
          <w:rFonts w:ascii="仿宋_GB2312" w:hAnsi="仿宋_GB2312" w:eastAsia="仿宋_GB2312" w:cs="仿宋_GB2312"/>
          <w:sz w:val="32"/>
          <w:szCs w:val="32"/>
        </w:rPr>
      </w:pPr>
      <w:r>
        <w:rPr>
          <w:rFonts w:hint="eastAsia" w:ascii="楷体" w:hAnsi="楷体" w:eastAsia="楷体" w:cs="楷体_GB2312"/>
          <w:bCs/>
          <w:sz w:val="32"/>
          <w:szCs w:val="32"/>
        </w:rPr>
        <w:t>三是精准认定承接机构。</w:t>
      </w:r>
      <w:r>
        <w:rPr>
          <w:rFonts w:hint="eastAsia" w:ascii="仿宋_GB2312" w:hAnsi="仿宋_GB2312" w:eastAsia="仿宋_GB2312" w:cs="仿宋_GB2312"/>
          <w:sz w:val="32"/>
          <w:szCs w:val="32"/>
        </w:rPr>
        <w:t>以政府购买服务的方式，体现公益性原则，要求服务机构必须具备教育培训和家政服务两项资质，同时具有残疾人托养服务的工作经历和业绩。通过公开采购服务程序，发布采购公告，成立专家评审组，以竞争性磋商或竞争性谈判的方式，对承接机构进行综合研判，最终确定符合规范要求的服务机构开展“阳光家庭”托养服务工作。</w:t>
      </w:r>
    </w:p>
    <w:p>
      <w:pPr>
        <w:pStyle w:val="8"/>
        <w:numPr>
          <w:ilvl w:val="0"/>
          <w:numId w:val="1"/>
        </w:numPr>
        <w:spacing w:line="540" w:lineRule="exact"/>
        <w:ind w:firstLineChars="0"/>
        <w:rPr>
          <w:rFonts w:ascii="黑体" w:hAnsi="黑体" w:eastAsia="黑体" w:cs="黑体"/>
          <w:bCs/>
          <w:sz w:val="32"/>
          <w:szCs w:val="32"/>
        </w:rPr>
      </w:pPr>
      <w:r>
        <w:rPr>
          <w:rFonts w:hint="eastAsia" w:ascii="黑体" w:hAnsi="黑体" w:eastAsia="黑体" w:cs="黑体"/>
          <w:bCs/>
          <w:sz w:val="32"/>
          <w:szCs w:val="32"/>
        </w:rPr>
        <w:t>加强绩效考核，建立“三个机制”</w:t>
      </w:r>
    </w:p>
    <w:p>
      <w:pPr>
        <w:spacing w:line="540" w:lineRule="exact"/>
        <w:ind w:firstLine="640"/>
        <w:rPr>
          <w:rFonts w:ascii="仿宋_GB2312" w:hAnsi="宋体" w:eastAsia="仿宋_GB2312"/>
          <w:sz w:val="32"/>
          <w:szCs w:val="32"/>
        </w:rPr>
      </w:pPr>
      <w:r>
        <w:rPr>
          <w:rFonts w:hint="eastAsia" w:ascii="楷体" w:hAnsi="楷体" w:eastAsia="楷体" w:cs="楷体_GB2312"/>
          <w:bCs/>
          <w:sz w:val="32"/>
          <w:szCs w:val="32"/>
        </w:rPr>
        <w:t>一是建立认定退出机制。</w:t>
      </w:r>
      <w:r>
        <w:rPr>
          <w:rFonts w:hint="eastAsia" w:ascii="仿宋_GB2312" w:hAnsi="宋体" w:eastAsia="仿宋_GB2312"/>
          <w:sz w:val="32"/>
          <w:szCs w:val="32"/>
        </w:rPr>
        <w:t>承接机构、服务对象、托养对象全部实行“动态管理”。在承接机构的管理上，注重收集残疾人、残疾人家属、镇残联、村（社区）残协对其在服务工作中的评价，实行“黑名单”管理制度。如果承接机构在服务工作中存在影响恶劣的情况，一经查实，将立即纳入“黑名单”并不允许其继续在岚皋县境内开展政府购买服务活动。在服务对象管理上，充分听取承接机构、残疾人、残疾人邻居、镇残联、村（社区）残协的意见，服务技能掌握好、服务质量优的对象在保证按期给付劳务费的前提下，纳入续聘对象管理，并进一步培养成托养服务骨干，担当互助小组长，对相邻居住的服务对象进行互助指导。在托养对象的管理上，与特困人员评定、家庭医生签约服务等密切结合。对纳入集中供养的特困残疾人，由承接机构免费给予一定的护理指导；对通过康复治疗恢复健康的托养对象，按规定注销残疾人证并停止托养服务；对超出服务年龄的对象，在做满本期服务后，不再开展下期服务。</w:t>
      </w:r>
    </w:p>
    <w:p>
      <w:pPr>
        <w:spacing w:line="540" w:lineRule="exact"/>
        <w:ind w:firstLine="640"/>
        <w:rPr>
          <w:rFonts w:ascii="仿宋_GB2312" w:hAnsi="宋体" w:eastAsia="仿宋_GB2312"/>
          <w:sz w:val="32"/>
          <w:szCs w:val="32"/>
        </w:rPr>
      </w:pPr>
      <w:r>
        <w:rPr>
          <w:rFonts w:hint="eastAsia" w:ascii="楷体" w:hAnsi="楷体" w:eastAsia="楷体" w:cs="楷体_GB2312"/>
          <w:bCs/>
          <w:sz w:val="32"/>
          <w:szCs w:val="32"/>
        </w:rPr>
        <w:t>二是建立质量验收机制。</w:t>
      </w:r>
      <w:r>
        <w:rPr>
          <w:rFonts w:hint="eastAsia" w:ascii="仿宋_GB2312" w:hAnsi="宋体" w:eastAsia="仿宋_GB2312"/>
          <w:sz w:val="32"/>
          <w:szCs w:val="32"/>
        </w:rPr>
        <w:t>质量验收机制是保证“阳光家庭”项目做实、残疾人真正受益的根本保障。我们将质量验收划分为两级验收，一级是县残联对承接机构的验收，一级是承接机构对服务对象的验收。县残联在对承接机构的验收中，除了量化评分外，我们在每期项目结束后，分片召开座谈会，邀请相关镇残联、村（社区）残协、残疾人家属、部分村民参加，对承接机构的服务质量和内容进行综合评价。评定为A的，正常支付项目资金，作为下期承接机构对象优先进行考量；评定为B的，正常支付项目资金，并提出进一步要求；评定为C的，责成整改后支付项目资金，不作为续签合同对象。要求承接机构对服务对象的验收中，除量化打分外，更重要的是成立三人验收组，对残疾人在托养前和托养后的个人状况和家庭环境改善情况进行综合评价。评价为A的，作为续聘对象；评价为B的，征求服务对象和残疾人的意见，开展“回炉”培训。</w:t>
      </w:r>
    </w:p>
    <w:p>
      <w:pPr>
        <w:spacing w:line="540" w:lineRule="exact"/>
        <w:ind w:firstLine="640"/>
        <w:rPr>
          <w:rFonts w:ascii="仿宋_GB2312" w:hAnsi="仿宋_GB2312" w:eastAsia="仿宋_GB2312" w:cs="仿宋_GB2312"/>
          <w:sz w:val="32"/>
          <w:szCs w:val="32"/>
        </w:rPr>
      </w:pPr>
      <w:r>
        <w:rPr>
          <w:rFonts w:hint="eastAsia" w:ascii="楷体" w:hAnsi="楷体" w:eastAsia="楷体" w:cs="楷体_GB2312"/>
          <w:bCs/>
          <w:sz w:val="32"/>
          <w:szCs w:val="32"/>
        </w:rPr>
        <w:t>三是建立培训考核机制。</w:t>
      </w:r>
      <w:r>
        <w:rPr>
          <w:rFonts w:hint="eastAsia" w:ascii="仿宋_GB2312" w:hAnsi="宋体" w:eastAsia="仿宋_GB2312"/>
          <w:sz w:val="32"/>
          <w:szCs w:val="32"/>
        </w:rPr>
        <w:t>承接机构在对服务对象的培训中，注重理论和实操并重的培训方式，每期培训不低于7天（3天理论、4天实操），开设家居保洁、日常护理、健康检查、心理辅导等课程，教授培训学员领会基本的托养服务政策和服务内容。培训结业进行结业考试，理论和实操均达标的对象发放《残疾人托养服务技能证书》。</w:t>
      </w:r>
    </w:p>
    <w:p>
      <w:pPr>
        <w:pStyle w:val="8"/>
        <w:numPr>
          <w:ilvl w:val="0"/>
          <w:numId w:val="1"/>
        </w:numPr>
        <w:spacing w:line="540" w:lineRule="exact"/>
        <w:ind w:firstLineChars="0"/>
        <w:rPr>
          <w:rFonts w:ascii="黑体" w:hAnsi="黑体" w:eastAsia="黑体" w:cs="黑体"/>
          <w:bCs/>
          <w:sz w:val="32"/>
          <w:szCs w:val="32"/>
        </w:rPr>
      </w:pPr>
      <w:r>
        <w:rPr>
          <w:rFonts w:hint="eastAsia" w:ascii="黑体" w:hAnsi="黑体" w:eastAsia="黑体" w:cs="黑体"/>
          <w:bCs/>
          <w:sz w:val="32"/>
          <w:szCs w:val="32"/>
        </w:rPr>
        <w:t>彰显社会成效，实现“三个提升”</w:t>
      </w:r>
    </w:p>
    <w:p>
      <w:pPr>
        <w:spacing w:line="540" w:lineRule="exact"/>
        <w:ind w:firstLine="640" w:firstLineChars="200"/>
        <w:rPr>
          <w:rFonts w:ascii="仿宋_GB2312" w:hAnsi="宋体" w:eastAsia="仿宋_GB2312"/>
          <w:sz w:val="32"/>
          <w:szCs w:val="32"/>
        </w:rPr>
      </w:pPr>
      <w:r>
        <w:rPr>
          <w:rFonts w:hint="eastAsia" w:ascii="楷体" w:hAnsi="楷体" w:eastAsia="楷体" w:cs="楷体_GB2312"/>
          <w:bCs/>
          <w:sz w:val="32"/>
          <w:szCs w:val="32"/>
        </w:rPr>
        <w:t>一是托养质量不断提升。</w:t>
      </w:r>
      <w:r>
        <w:rPr>
          <w:rFonts w:hint="eastAsia" w:ascii="仿宋_GB2312" w:hAnsi="宋体" w:eastAsia="仿宋_GB2312"/>
          <w:sz w:val="32"/>
          <w:szCs w:val="32"/>
        </w:rPr>
        <w:t>通过残疾人“阳光家庭”项目试点工作，初步达到了“高质量托养照护残疾人、高水平培训家庭成员、高标准让家庭成员实现稳定就业”的预期目标。</w:t>
      </w:r>
      <w:r>
        <w:rPr>
          <w:rFonts w:hint="eastAsia" w:ascii="仿宋_GB2312" w:hAnsi="楷体" w:eastAsia="仿宋_GB2312" w:cs="楷体"/>
          <w:sz w:val="32"/>
          <w:szCs w:val="32"/>
        </w:rPr>
        <w:t>目前</w:t>
      </w:r>
      <w:r>
        <w:rPr>
          <w:rFonts w:hint="eastAsia" w:ascii="仿宋_GB2312" w:hAnsi="宋体" w:eastAsia="仿宋_GB2312"/>
          <w:sz w:val="32"/>
          <w:szCs w:val="32"/>
        </w:rPr>
        <w:t>培训托养对象家庭成员193人，他们在承接机构的指导下，居家照护能力明显增强，193名残疾人得到随时随地的居家托养服务，解决了以前由承接机构上门从事简单的身体检查、打扫卫生、康复训练的弊端，提高了托养对象的满意度。</w:t>
      </w:r>
    </w:p>
    <w:p>
      <w:pPr>
        <w:spacing w:line="540" w:lineRule="exact"/>
        <w:ind w:firstLine="640" w:firstLineChars="200"/>
        <w:rPr>
          <w:rFonts w:ascii="仿宋_GB2312" w:hAnsi="宋体" w:eastAsia="仿宋_GB2312"/>
          <w:sz w:val="32"/>
          <w:szCs w:val="32"/>
        </w:rPr>
      </w:pPr>
      <w:r>
        <w:rPr>
          <w:rFonts w:hint="eastAsia" w:ascii="楷体" w:hAnsi="楷体" w:eastAsia="楷体" w:cs="楷体_GB2312"/>
          <w:bCs/>
          <w:sz w:val="32"/>
          <w:szCs w:val="32"/>
        </w:rPr>
        <w:t>二是护理水平不断提升。</w:t>
      </w:r>
      <w:r>
        <w:rPr>
          <w:rFonts w:hint="eastAsia" w:ascii="仿宋_GB2312" w:hAnsi="宋体" w:eastAsia="仿宋_GB2312"/>
          <w:sz w:val="32"/>
          <w:szCs w:val="32"/>
        </w:rPr>
        <w:t>通过对托养对象家庭成员集中培训，他们掌握了护理残疾人的基本知识和技能，能及时开展家庭环境消杀，注重家庭饮食卫生及安全常识，具备为托养对象量体温、量血压、测量脉搏和服药指导、基础护理、康复指导和康复服务，能让托养对象保持阳光心态，直面人生，走出阴霾，活出精彩。</w:t>
      </w:r>
    </w:p>
    <w:p>
      <w:pPr>
        <w:spacing w:line="540" w:lineRule="exact"/>
        <w:ind w:firstLine="640" w:firstLineChars="200"/>
        <w:rPr>
          <w:rFonts w:ascii="仿宋_GB2312" w:eastAsia="仿宋_GB2312"/>
          <w:sz w:val="32"/>
          <w:szCs w:val="32"/>
        </w:rPr>
      </w:pPr>
      <w:r>
        <w:rPr>
          <w:rFonts w:hint="eastAsia" w:ascii="楷体" w:hAnsi="楷体" w:eastAsia="楷体" w:cs="楷体_GB2312"/>
          <w:bCs/>
          <w:sz w:val="32"/>
          <w:szCs w:val="32"/>
        </w:rPr>
        <w:t>三是就业质量不断提升。</w:t>
      </w:r>
      <w:r>
        <w:rPr>
          <w:rFonts w:hint="eastAsia" w:ascii="仿宋_GB2312" w:hAnsi="宋体" w:eastAsia="仿宋_GB2312"/>
          <w:sz w:val="32"/>
          <w:szCs w:val="32"/>
        </w:rPr>
        <w:t>通过培训合格后的托养对象家人和监护人，在承接机构指导下，在照顾好托养对象并经过</w:t>
      </w:r>
      <w:r>
        <w:rPr>
          <w:rFonts w:hint="eastAsia" w:ascii="仿宋_GB2312" w:eastAsia="仿宋_GB2312"/>
          <w:sz w:val="32"/>
          <w:szCs w:val="32"/>
        </w:rPr>
        <w:t xml:space="preserve">评估、考核、验收合格后，除得到承接机构一定的劳务费外，还可在集镇敬老院、社区日间照料中心等机构从事护理服务工作，获取报酬，做到服务残疾人和自身就业两不误，既照顾了家中的残疾人，又通过培训获取一门实用技能，实现就业增收。  </w:t>
      </w:r>
    </w:p>
    <w:p>
      <w:pPr>
        <w:ind w:firstLine="640" w:firstLineChars="200"/>
        <w:rPr>
          <w:rFonts w:ascii="仿宋" w:hAnsi="仿宋" w:eastAsia="仿宋" w:cs="仿宋"/>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script"/>
    <w:pitch w:val="default"/>
    <w:sig w:usb0="A00002BF" w:usb1="184F6CFA" w:usb2="00000012" w:usb3="00000000" w:csb0="00040001" w:csb1="00000000"/>
  </w:font>
  <w:font w:name="华文中宋">
    <w:altName w:val="汉仪中宋简"/>
    <w:panose1 w:val="02010600040101010101"/>
    <w:charset w:val="86"/>
    <w:family w:val="auto"/>
    <w:pitch w:val="default"/>
    <w:sig w:usb0="00000000" w:usb1="00000000" w:usb2="00000010" w:usb3="00000000" w:csb0="0004009F" w:csb1="00000000"/>
  </w:font>
  <w:font w:name="仿宋_GB2312">
    <w:panose1 w:val="02010609030101010101"/>
    <w:charset w:val="86"/>
    <w:family w:val="modern"/>
    <w:pitch w:val="default"/>
    <w:sig w:usb0="00000001" w:usb1="080E0000" w:usb2="00000000" w:usb3="00000000" w:csb0="00040000" w:csb1="00000000"/>
  </w:font>
  <w:font w:name="华文宋体">
    <w:altName w:val="方正书宋_GBK"/>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汉仪中宋简">
    <w:panose1 w:val="02010600000101010101"/>
    <w:charset w:val="86"/>
    <w:family w:val="auto"/>
    <w:pitch w:val="default"/>
    <w:sig w:usb0="00000001" w:usb1="080E0800" w:usb2="00000002"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7261137"/>
    <w:multiLevelType w:val="multilevel"/>
    <w:tmpl w:val="27261137"/>
    <w:lvl w:ilvl="0" w:tentative="0">
      <w:start w:val="1"/>
      <w:numFmt w:val="japaneseCounting"/>
      <w:lvlText w:val="%1、"/>
      <w:lvlJc w:val="left"/>
      <w:pPr>
        <w:ind w:left="1429" w:hanging="720"/>
      </w:pPr>
      <w:rPr>
        <w:rFonts w:hint="default"/>
      </w:r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5C4110F5"/>
    <w:rsid w:val="000A5B57"/>
    <w:rsid w:val="00624838"/>
    <w:rsid w:val="00825F42"/>
    <w:rsid w:val="00F755C5"/>
    <w:rsid w:val="17BD3A81"/>
    <w:rsid w:val="1BB667FD"/>
    <w:rsid w:val="36DF50FA"/>
    <w:rsid w:val="5C4110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iPriority="99"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3"/>
    <w:basedOn w:val="1"/>
    <w:semiHidden/>
    <w:unhideWhenUsed/>
    <w:qFormat/>
    <w:uiPriority w:val="99"/>
    <w:rPr>
      <w:sz w:val="16"/>
    </w:rPr>
  </w:style>
  <w:style w:type="paragraph" w:styleId="3">
    <w:name w:val="Date"/>
    <w:basedOn w:val="1"/>
    <w:next w:val="1"/>
    <w:link w:val="11"/>
    <w:qFormat/>
    <w:uiPriority w:val="0"/>
    <w:pPr>
      <w:ind w:left="100" w:leftChars="2500"/>
    </w:p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8">
    <w:name w:val="List Paragraph"/>
    <w:basedOn w:val="1"/>
    <w:qFormat/>
    <w:uiPriority w:val="34"/>
    <w:pPr>
      <w:ind w:firstLine="420" w:firstLineChars="200"/>
    </w:pPr>
  </w:style>
  <w:style w:type="character" w:customStyle="1" w:styleId="9">
    <w:name w:val="页眉 Char"/>
    <w:basedOn w:val="7"/>
    <w:link w:val="5"/>
    <w:qFormat/>
    <w:uiPriority w:val="0"/>
    <w:rPr>
      <w:kern w:val="2"/>
      <w:sz w:val="18"/>
      <w:szCs w:val="18"/>
    </w:rPr>
  </w:style>
  <w:style w:type="character" w:customStyle="1" w:styleId="10">
    <w:name w:val="页脚 Char"/>
    <w:basedOn w:val="7"/>
    <w:link w:val="4"/>
    <w:qFormat/>
    <w:uiPriority w:val="0"/>
    <w:rPr>
      <w:kern w:val="2"/>
      <w:sz w:val="18"/>
      <w:szCs w:val="18"/>
    </w:rPr>
  </w:style>
  <w:style w:type="character" w:customStyle="1" w:styleId="11">
    <w:name w:val="日期 Char"/>
    <w:basedOn w:val="7"/>
    <w:link w:val="3"/>
    <w:qFormat/>
    <w:uiPriority w:val="0"/>
    <w:rPr>
      <w:kern w:val="2"/>
      <w:sz w:val="21"/>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USER</Company>
  <Pages>6</Pages>
  <Words>451</Words>
  <Characters>2577</Characters>
  <Lines>21</Lines>
  <Paragraphs>6</Paragraphs>
  <TotalTime>35</TotalTime>
  <ScaleCrop>false</ScaleCrop>
  <LinksUpToDate>false</LinksUpToDate>
  <CharactersWithSpaces>3022</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2021-12-07T10:51:00Z</dcterms:created>
  <dc:creator>Administrator</dc:creator>
  <cp:lastModifiedBy>cdpf</cp:lastModifiedBy>
  <cp:lastPrinted>2021-12-07T11:28:00Z</cp:lastPrinted>
  <dcterms:modified xsi:type="dcterms:W3CDTF">2022-03-02T09:55:36Z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353180D81BCA434399279F20D58E2D8A</vt:lpwstr>
  </property>
</Properties>
</file>