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仿宋_GB2312" w:eastAsia="仿宋_GB2312"/>
          <w:sz w:val="32"/>
          <w:szCs w:val="32"/>
        </w:rPr>
      </w:pPr>
      <w:bookmarkStart w:id="2" w:name="_GoBack"/>
      <w:bookmarkEnd w:id="2"/>
      <w:r>
        <w:rPr>
          <w:rFonts w:hint="default" w:ascii="仿宋_GB2312" w:eastAsia="仿宋_GB2312"/>
          <w:sz w:val="32"/>
          <w:szCs w:val="32"/>
        </w:rPr>
        <w:t>HNPR-2021-50001</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after="240" w:afterLines="100" w:line="580" w:lineRule="exact"/>
        <w:rPr>
          <w:rFonts w:ascii="仿宋_GB2312" w:eastAsia="仿宋_GB2312"/>
          <w:color w:val="FF0000"/>
          <w:sz w:val="32"/>
          <w:szCs w:val="32"/>
        </w:rPr>
      </w:pPr>
    </w:p>
    <w:p>
      <w:pPr>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湘残康字〔2021〕</w:t>
      </w:r>
      <w:r>
        <w:rPr>
          <w:rFonts w:ascii="仿宋_GB2312" w:eastAsia="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号</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湖南省残疾人联合会关于进一步规范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残疾儿童康复救助工作的通知</w:t>
      </w:r>
    </w:p>
    <w:p>
      <w:pPr>
        <w:spacing w:line="600" w:lineRule="exact"/>
        <w:jc w:val="center"/>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val="zh-CN"/>
        </w:rPr>
        <w:t>州、县市区残联，各定点康复机构：</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sz w:val="32"/>
          <w:szCs w:val="32"/>
          <w:lang w:val="zh-CN"/>
        </w:rPr>
        <w:t>《湖南省人民政府关于建立残疾儿童康复救助制度的实施意见》</w:t>
      </w:r>
      <w:r>
        <w:rPr>
          <w:rFonts w:ascii="仿宋_GB2312" w:hAnsi="仿宋_GB2312" w:eastAsia="仿宋_GB2312" w:cs="仿宋_GB2312"/>
          <w:sz w:val="32"/>
          <w:szCs w:val="32"/>
        </w:rPr>
        <w:t>（湘政发〔2018〕23号）</w:t>
      </w:r>
      <w:r>
        <w:rPr>
          <w:rFonts w:hint="eastAsia" w:ascii="仿宋_GB2312" w:hAnsi="仿宋_GB2312" w:eastAsia="仿宋_GB2312" w:cs="仿宋_GB2312"/>
          <w:sz w:val="32"/>
          <w:szCs w:val="32"/>
          <w:lang w:val="zh-CN"/>
        </w:rPr>
        <w:t>和省残联、省发改委等部门《湖南省残疾儿童康复救助制度操作办法》</w:t>
      </w:r>
      <w:r>
        <w:rPr>
          <w:rFonts w:ascii="仿宋_GB2312" w:hAnsi="仿宋_GB2312" w:eastAsia="仿宋_GB2312" w:cs="仿宋_GB2312"/>
          <w:sz w:val="32"/>
          <w:szCs w:val="32"/>
        </w:rPr>
        <w:t>（湘残联字〔2018〕32号）（以下简称《操作办法》）</w:t>
      </w:r>
      <w:r>
        <w:rPr>
          <w:rFonts w:hint="eastAsia" w:ascii="仿宋_GB2312" w:hAnsi="仿宋_GB2312" w:eastAsia="仿宋_GB2312" w:cs="仿宋_GB2312"/>
          <w:sz w:val="32"/>
          <w:szCs w:val="32"/>
          <w:lang w:val="zh-CN"/>
        </w:rPr>
        <w:t>施行以来</w:t>
      </w:r>
      <w:r>
        <w:rPr>
          <w:rFonts w:hint="eastAsia" w:ascii="仿宋_GB2312" w:hAnsi="仿宋_GB2312" w:eastAsia="仿宋_GB2312" w:cs="仿宋_GB2312"/>
          <w:color w:val="auto"/>
          <w:sz w:val="32"/>
          <w:szCs w:val="32"/>
          <w:lang w:val="zh-CN"/>
        </w:rPr>
        <w:t>，</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认真贯彻落实，残疾儿童康复由项目救助向制度保障转变，康复救助覆盖面明显扩大，服务质量稳步提升，社会效益日益凸显。为进一步规范全省残疾儿童康复救助工作，提升服务水平，增强残疾人获得感、幸福感、</w:t>
      </w:r>
      <w:r>
        <w:rPr>
          <w:rFonts w:hint="eastAsia" w:ascii="仿宋_GB2312" w:hAnsi="仿宋_GB2312" w:eastAsia="仿宋_GB2312" w:cs="仿宋_GB2312"/>
          <w:color w:val="auto"/>
          <w:sz w:val="32"/>
          <w:szCs w:val="32"/>
        </w:rPr>
        <w:t>安全感</w:t>
      </w:r>
      <w:r>
        <w:rPr>
          <w:rFonts w:hint="eastAsia" w:ascii="仿宋_GB2312" w:hAnsi="仿宋_GB2312" w:eastAsia="仿宋_GB2312" w:cs="仿宋_GB2312"/>
          <w:color w:val="auto"/>
          <w:sz w:val="32"/>
          <w:szCs w:val="32"/>
          <w:lang w:val="zh-CN"/>
        </w:rPr>
        <w:t>，现</w:t>
      </w:r>
      <w:r>
        <w:rPr>
          <w:rFonts w:hint="eastAsia" w:ascii="仿宋_GB2312" w:hAnsi="仿宋_GB2312" w:eastAsia="仿宋_GB2312" w:cs="仿宋_GB2312"/>
          <w:color w:val="auto"/>
          <w:sz w:val="32"/>
          <w:szCs w:val="32"/>
        </w:rPr>
        <w:t>就</w:t>
      </w:r>
      <w:r>
        <w:rPr>
          <w:rFonts w:hint="eastAsia" w:ascii="仿宋_GB2312" w:hAnsi="仿宋_GB2312" w:eastAsia="仿宋_GB2312" w:cs="仿宋_GB2312"/>
          <w:color w:val="auto"/>
          <w:sz w:val="32"/>
          <w:szCs w:val="32"/>
          <w:lang w:val="zh-CN"/>
        </w:rPr>
        <w:t>有关事项</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color w:val="auto"/>
          <w:sz w:val="32"/>
          <w:szCs w:val="32"/>
          <w:lang w:val="zh-CN"/>
        </w:rPr>
        <w:t>如下：</w:t>
      </w:r>
    </w:p>
    <w:p>
      <w:pPr>
        <w:spacing w:line="600" w:lineRule="exact"/>
        <w:ind w:firstLine="640" w:firstLineChars="200"/>
        <w:rPr>
          <w:rFonts w:ascii="黑体" w:hAnsi="黑体" w:eastAsia="黑体" w:cs="黑体"/>
          <w:color w:val="auto"/>
          <w:sz w:val="32"/>
          <w:szCs w:val="32"/>
          <w:lang w:val="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zh-CN"/>
        </w:rPr>
        <w:t>、加强经办服务</w:t>
      </w:r>
    </w:p>
    <w:p>
      <w:pPr>
        <w:spacing w:line="600" w:lineRule="exact"/>
        <w:ind w:firstLine="640" w:firstLineChars="200"/>
        <w:rPr>
          <w:rFonts w:ascii="仿宋_GB2312" w:hAnsi="仿宋_GB2312" w:eastAsia="仿宋_GB2312" w:cs="仿宋_GB2312"/>
          <w:color w:val="auto"/>
          <w:sz w:val="32"/>
          <w:szCs w:val="32"/>
          <w:lang w:val="zh-CN"/>
        </w:rPr>
      </w:pPr>
      <w:r>
        <w:rPr>
          <w:rFonts w:hint="default" w:ascii="仿宋_GB2312" w:hAnsi="仿宋_GB2312" w:eastAsia="仿宋_GB2312" w:cs="仿宋_GB2312"/>
          <w:color w:val="auto"/>
          <w:sz w:val="32"/>
          <w:szCs w:val="32"/>
        </w:rPr>
        <w:t>市州、县市区</w:t>
      </w:r>
      <w:r>
        <w:rPr>
          <w:rFonts w:hint="eastAsia" w:ascii="仿宋_GB2312" w:hAnsi="仿宋_GB2312" w:eastAsia="仿宋_GB2312" w:cs="仿宋_GB2312"/>
          <w:color w:val="auto"/>
          <w:sz w:val="32"/>
          <w:szCs w:val="32"/>
          <w:lang w:val="zh-CN"/>
        </w:rPr>
        <w:t>残联要把经办服务作为残疾儿童康复服务质量的重要</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zh-CN"/>
        </w:rPr>
        <w:t>，进一步提高认识，更加重视经办服务工作，改进经办服务质量。</w:t>
      </w:r>
    </w:p>
    <w:p>
      <w:pPr>
        <w:spacing w:line="600" w:lineRule="exact"/>
        <w:ind w:firstLine="640" w:firstLineChars="200"/>
        <w:rPr>
          <w:rFonts w:ascii="仿宋_GB2312" w:hAnsi="仿宋_GB2312" w:eastAsia="仿宋_GB2312" w:cs="仿宋_GB2312"/>
          <w:color w:val="auto"/>
          <w:sz w:val="32"/>
          <w:szCs w:val="32"/>
          <w:lang w:val="zh-CN"/>
        </w:rPr>
      </w:pPr>
      <w:r>
        <w:rPr>
          <w:rFonts w:ascii="楷体" w:hAnsi="楷体" w:eastAsia="楷体" w:cs="楷体"/>
          <w:color w:val="auto"/>
          <w:sz w:val="32"/>
          <w:szCs w:val="32"/>
        </w:rPr>
        <w:t>（一）</w:t>
      </w:r>
      <w:r>
        <w:rPr>
          <w:rFonts w:hint="eastAsia" w:ascii="楷体" w:hAnsi="楷体" w:eastAsia="楷体" w:cs="楷体"/>
          <w:color w:val="auto"/>
          <w:sz w:val="32"/>
          <w:szCs w:val="32"/>
          <w:lang w:val="zh-CN"/>
        </w:rPr>
        <w:t>明确</w:t>
      </w:r>
      <w:r>
        <w:rPr>
          <w:rFonts w:ascii="楷体" w:hAnsi="楷体" w:eastAsia="楷体" w:cs="楷体"/>
          <w:color w:val="auto"/>
          <w:sz w:val="32"/>
          <w:szCs w:val="32"/>
        </w:rPr>
        <w:t>救助</w:t>
      </w:r>
      <w:r>
        <w:rPr>
          <w:rFonts w:hint="eastAsia" w:ascii="楷体" w:hAnsi="楷体" w:eastAsia="楷体" w:cs="楷体"/>
          <w:color w:val="auto"/>
          <w:sz w:val="32"/>
          <w:szCs w:val="32"/>
          <w:lang w:val="zh-CN"/>
        </w:rPr>
        <w:t>服务</w:t>
      </w:r>
      <w:r>
        <w:rPr>
          <w:rFonts w:ascii="楷体" w:hAnsi="楷体" w:eastAsia="楷体" w:cs="楷体"/>
          <w:color w:val="auto"/>
          <w:sz w:val="32"/>
          <w:szCs w:val="32"/>
        </w:rPr>
        <w:t>内容</w:t>
      </w:r>
      <w:r>
        <w:rPr>
          <w:rFonts w:hint="eastAsia" w:ascii="楷体" w:hAnsi="楷体" w:eastAsia="楷体" w:cs="楷体"/>
          <w:color w:val="auto"/>
          <w:sz w:val="32"/>
          <w:szCs w:val="32"/>
          <w:lang w:val="zh-CN"/>
        </w:rPr>
        <w:t>。</w:t>
      </w:r>
      <w:r>
        <w:rPr>
          <w:rFonts w:hint="eastAsia" w:ascii="仿宋_GB2312" w:hAnsi="仿宋_GB2312" w:eastAsia="仿宋_GB2312" w:cs="仿宋_GB2312"/>
          <w:color w:val="auto"/>
          <w:sz w:val="32"/>
          <w:szCs w:val="32"/>
          <w:lang w:val="zh-CN"/>
        </w:rPr>
        <w:t>根据《操作办法》和《湖南省残疾儿童康复救助定点服务机构服务指南》，结合工作实际，省残联对残疾儿童康复救助服务内容进行了修订，形成了《湖南省残疾儿童</w:t>
      </w:r>
      <w:r>
        <w:rPr>
          <w:rFonts w:ascii="仿宋_GB2312" w:hAnsi="仿宋_GB2312" w:eastAsia="仿宋_GB2312" w:cs="仿宋_GB2312"/>
          <w:color w:val="auto"/>
          <w:sz w:val="32"/>
          <w:szCs w:val="32"/>
        </w:rPr>
        <w:t>康复救助服务内容</w:t>
      </w:r>
      <w:r>
        <w:rPr>
          <w:rFonts w:hint="eastAsia" w:ascii="仿宋_GB2312" w:hAnsi="仿宋_GB2312" w:eastAsia="仿宋_GB2312" w:cs="仿宋_GB2312"/>
          <w:color w:val="auto"/>
          <w:sz w:val="32"/>
          <w:szCs w:val="32"/>
          <w:lang w:val="zh-CN"/>
        </w:rPr>
        <w:t>》（附件1）（以下简称《服务</w:t>
      </w:r>
      <w:r>
        <w:rPr>
          <w:rFonts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rPr>
        <w:t>2022年1月1日起，</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按修订后的《服务</w:t>
      </w:r>
      <w:r>
        <w:rPr>
          <w:rFonts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zh-CN"/>
        </w:rPr>
        <w:t>》执行，可根据</w:t>
      </w:r>
      <w:r>
        <w:rPr>
          <w:rFonts w:ascii="仿宋_GB2312" w:hAnsi="仿宋_GB2312" w:eastAsia="仿宋_GB2312" w:cs="仿宋_GB2312"/>
          <w:color w:val="auto"/>
          <w:sz w:val="32"/>
          <w:szCs w:val="32"/>
          <w:lang w:val="zh-CN"/>
        </w:rPr>
        <w:t>地方</w:t>
      </w:r>
      <w:r>
        <w:rPr>
          <w:rFonts w:hint="eastAsia" w:ascii="仿宋_GB2312" w:hAnsi="仿宋_GB2312" w:eastAsia="仿宋_GB2312" w:cs="仿宋_GB2312"/>
          <w:color w:val="auto"/>
          <w:sz w:val="32"/>
          <w:szCs w:val="32"/>
          <w:lang w:val="zh-CN"/>
        </w:rPr>
        <w:t>实际增加服务项目、优化服务内容。残疾儿童康复救助定点服务机构（以下简称“定点机构”）</w:t>
      </w:r>
      <w:r>
        <w:rPr>
          <w:rFonts w:ascii="仿宋_GB2312" w:hAnsi="仿宋_GB2312" w:eastAsia="仿宋_GB2312" w:cs="仿宋_GB2312"/>
          <w:color w:val="auto"/>
          <w:sz w:val="32"/>
          <w:szCs w:val="32"/>
        </w:rPr>
        <w:t>严格落实服务内容，在机构显要位置公开张贴。县级残联按照本地结算办法、补助标准与定点机构进行结算。训练类康复定点机构要根据残疾儿童康复需求，按规定经专业评估后确定全日制或非全日制康复训练模式，在《服务内容》内提供康复训练服务的，严禁违规收取家长费用。</w:t>
      </w:r>
    </w:p>
    <w:p>
      <w:pPr>
        <w:spacing w:line="600" w:lineRule="exact"/>
        <w:ind w:firstLine="640" w:firstLineChars="200"/>
        <w:rPr>
          <w:rFonts w:ascii="仿宋_GB2312" w:hAnsi="仿宋_GB2312" w:eastAsia="仿宋_GB2312" w:cs="仿宋_GB2312"/>
          <w:color w:val="auto"/>
          <w:sz w:val="32"/>
          <w:szCs w:val="32"/>
          <w:lang w:val="zh-CN"/>
        </w:rPr>
      </w:pPr>
      <w:r>
        <w:rPr>
          <w:rFonts w:ascii="楷体" w:hAnsi="楷体" w:eastAsia="楷体" w:cs="楷体"/>
          <w:color w:val="auto"/>
          <w:sz w:val="32"/>
          <w:szCs w:val="32"/>
        </w:rPr>
        <w:t>（二）</w:t>
      </w:r>
      <w:r>
        <w:rPr>
          <w:rFonts w:hint="eastAsia" w:ascii="楷体" w:hAnsi="楷体" w:eastAsia="楷体" w:cs="楷体"/>
          <w:color w:val="auto"/>
          <w:sz w:val="32"/>
          <w:szCs w:val="32"/>
          <w:lang w:val="zh-CN"/>
        </w:rPr>
        <w:t>及时受理审</w:t>
      </w:r>
      <w:r>
        <w:rPr>
          <w:rFonts w:ascii="楷体" w:hAnsi="楷体" w:eastAsia="楷体" w:cs="楷体"/>
          <w:color w:val="auto"/>
          <w:sz w:val="32"/>
          <w:szCs w:val="32"/>
        </w:rPr>
        <w:t>核</w:t>
      </w:r>
      <w:r>
        <w:rPr>
          <w:rFonts w:hint="eastAsia" w:ascii="楷体" w:hAnsi="楷体" w:eastAsia="楷体" w:cs="楷体"/>
          <w:color w:val="auto"/>
          <w:sz w:val="32"/>
          <w:szCs w:val="32"/>
          <w:lang w:val="zh-CN"/>
        </w:rPr>
        <w:t>康复救助申请。</w:t>
      </w:r>
      <w:r>
        <w:rPr>
          <w:rFonts w:hint="default" w:ascii="仿宋_GB2312" w:hAnsi="仿宋_GB2312" w:eastAsia="仿宋_GB2312" w:cs="仿宋_GB2312"/>
          <w:color w:val="auto"/>
          <w:sz w:val="32"/>
          <w:szCs w:val="32"/>
        </w:rPr>
        <w:t>县级残联</w:t>
      </w:r>
      <w:r>
        <w:rPr>
          <w:rFonts w:hint="eastAsia" w:ascii="仿宋_GB2312" w:hAnsi="仿宋_GB2312" w:eastAsia="仿宋_GB2312" w:cs="仿宋_GB2312"/>
          <w:color w:val="auto"/>
          <w:sz w:val="32"/>
          <w:szCs w:val="32"/>
          <w:lang w:val="zh-CN"/>
        </w:rPr>
        <w:t>要完善残疾儿童康复救助经办工作制度，明确岗位职责、工作标准和要求。要安排专责经办人员受理残疾儿童康复救助申请，严格按照</w:t>
      </w:r>
      <w:r>
        <w:rPr>
          <w:rFonts w:hint="default" w:ascii="仿宋_GB2312" w:hAnsi="仿宋_GB2312" w:eastAsia="仿宋_GB2312" w:cs="仿宋_GB2312"/>
          <w:color w:val="auto"/>
          <w:sz w:val="32"/>
          <w:szCs w:val="32"/>
        </w:rPr>
        <w:t>本地</w:t>
      </w:r>
      <w:r>
        <w:rPr>
          <w:rFonts w:hint="eastAsia" w:ascii="仿宋_GB2312" w:hAnsi="仿宋_GB2312" w:eastAsia="仿宋_GB2312" w:cs="仿宋_GB2312"/>
          <w:color w:val="auto"/>
          <w:sz w:val="32"/>
          <w:szCs w:val="32"/>
          <w:lang w:val="zh-CN"/>
        </w:rPr>
        <w:t>政务服务标准，在规定时间内完成救助申请</w:t>
      </w:r>
      <w:r>
        <w:rPr>
          <w:rFonts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zh-CN"/>
        </w:rPr>
        <w:t>和告知。原则上，应在10个工作日内完成</w:t>
      </w:r>
      <w:r>
        <w:rPr>
          <w:rFonts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zh-CN"/>
        </w:rPr>
        <w:t>，对符合救助条件的要</w:t>
      </w:r>
      <w:r>
        <w:rPr>
          <w:rFonts w:hint="eastAsia" w:ascii="仿宋_GB2312" w:hAnsi="仿宋_GB2312" w:eastAsia="仿宋_GB2312" w:cs="仿宋_GB2312"/>
          <w:color w:val="auto"/>
          <w:sz w:val="32"/>
          <w:szCs w:val="32"/>
        </w:rPr>
        <w:t>适时</w:t>
      </w:r>
      <w:r>
        <w:rPr>
          <w:rFonts w:hint="eastAsia" w:ascii="仿宋_GB2312" w:hAnsi="仿宋_GB2312" w:eastAsia="仿宋_GB2312" w:cs="仿宋_GB2312"/>
          <w:color w:val="auto"/>
          <w:sz w:val="32"/>
          <w:szCs w:val="32"/>
          <w:lang w:val="zh-CN"/>
        </w:rPr>
        <w:t>安排康复服务，统筹安排救助资金。受理审</w:t>
      </w:r>
      <w:r>
        <w:rPr>
          <w:rFonts w:ascii="仿宋_GB2312" w:hAnsi="仿宋_GB2312" w:eastAsia="仿宋_GB2312" w:cs="仿宋_GB2312"/>
          <w:color w:val="auto"/>
          <w:sz w:val="32"/>
          <w:szCs w:val="32"/>
        </w:rPr>
        <w:t>核</w:t>
      </w:r>
      <w:r>
        <w:rPr>
          <w:rFonts w:hint="eastAsia" w:ascii="仿宋_GB2312" w:hAnsi="仿宋_GB2312" w:eastAsia="仿宋_GB2312" w:cs="仿宋_GB2312"/>
          <w:color w:val="auto"/>
          <w:sz w:val="32"/>
          <w:szCs w:val="32"/>
          <w:lang w:val="zh-CN"/>
        </w:rPr>
        <w:t>手术类（人工耳蜗植入、肢体矫治）康复救助申请时，应明确告知监护人术后康复训练有关事项，并加强术后跟踪，督促残疾儿童及时入训，确保手术与康复训练有效衔接。要重视线上申请受理，专责经办人员每个工作日</w:t>
      </w:r>
      <w:r>
        <w:rPr>
          <w:rFonts w:ascii="仿宋_GB2312" w:hAnsi="仿宋_GB2312" w:eastAsia="仿宋_GB2312" w:cs="仿宋_GB2312"/>
          <w:color w:val="auto"/>
          <w:sz w:val="32"/>
          <w:szCs w:val="32"/>
        </w:rPr>
        <w:t>都要</w:t>
      </w:r>
      <w:r>
        <w:rPr>
          <w:rFonts w:hint="eastAsia" w:ascii="仿宋_GB2312" w:hAnsi="仿宋_GB2312" w:eastAsia="仿宋_GB2312" w:cs="仿宋_GB2312"/>
          <w:color w:val="auto"/>
          <w:sz w:val="32"/>
          <w:szCs w:val="32"/>
          <w:lang w:val="zh-CN"/>
        </w:rPr>
        <w:t>访问残疾儿童康复救助信息管理系统，及时</w:t>
      </w:r>
      <w:r>
        <w:rPr>
          <w:rFonts w:ascii="仿宋_GB2312" w:hAnsi="仿宋_GB2312" w:eastAsia="仿宋_GB2312" w:cs="仿宋_GB2312"/>
          <w:color w:val="auto"/>
          <w:sz w:val="32"/>
          <w:szCs w:val="32"/>
        </w:rPr>
        <w:t>处理</w:t>
      </w:r>
      <w:r>
        <w:rPr>
          <w:rFonts w:hint="eastAsia" w:ascii="仿宋_GB2312" w:hAnsi="仿宋_GB2312" w:eastAsia="仿宋_GB2312" w:cs="仿宋_GB2312"/>
          <w:color w:val="auto"/>
          <w:sz w:val="32"/>
          <w:szCs w:val="32"/>
          <w:lang w:val="zh-CN"/>
        </w:rPr>
        <w:t>在线提交的救助申请。</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w:t>
      </w:r>
      <w:r>
        <w:rPr>
          <w:rFonts w:ascii="楷体" w:hAnsi="楷体" w:eastAsia="楷体" w:cs="楷体"/>
          <w:color w:val="auto"/>
          <w:sz w:val="32"/>
          <w:szCs w:val="32"/>
        </w:rPr>
        <w:t>三</w:t>
      </w:r>
      <w:r>
        <w:rPr>
          <w:rFonts w:hint="eastAsia" w:ascii="楷体" w:hAnsi="楷体" w:eastAsia="楷体" w:cs="楷体"/>
          <w:color w:val="auto"/>
          <w:sz w:val="32"/>
          <w:szCs w:val="32"/>
          <w:lang w:val="zh-CN"/>
        </w:rPr>
        <w:t>）落实持居住证残疾儿童康复救助要求。</w:t>
      </w:r>
      <w:r>
        <w:rPr>
          <w:rFonts w:hint="default" w:ascii="仿宋_GB2312" w:hAnsi="仿宋_GB2312" w:eastAsia="仿宋_GB2312" w:cs="仿宋_GB2312"/>
          <w:color w:val="auto"/>
          <w:sz w:val="32"/>
          <w:szCs w:val="32"/>
        </w:rPr>
        <w:t>市州</w:t>
      </w:r>
      <w:r>
        <w:rPr>
          <w:rFonts w:hint="eastAsia" w:ascii="仿宋_GB2312" w:hAnsi="仿宋_GB2312" w:eastAsia="仿宋_GB2312" w:cs="仿宋_GB2312"/>
          <w:color w:val="auto"/>
          <w:sz w:val="32"/>
          <w:szCs w:val="32"/>
          <w:lang w:val="zh-CN"/>
        </w:rPr>
        <w:t>残联要深入了解掌握本地持居住证残疾儿童的基本情况、康复救助意愿，主动会同相关部门完善政策，明确细则，落实好《操作办法》提出的“残疾儿童监护人向户籍所在地（居住证发放地）县市区残联组织提出申请”的要求。要摸清所辖县（市、区）残联受理持居住证残疾儿童康复救助申请的现状，</w:t>
      </w:r>
      <w:r>
        <w:rPr>
          <w:rFonts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val="zh-CN"/>
        </w:rPr>
        <w:t>落实《操作办法》要求</w:t>
      </w:r>
      <w:r>
        <w:rPr>
          <w:rFonts w:ascii="仿宋_GB2312" w:hAnsi="仿宋_GB2312" w:eastAsia="仿宋_GB2312" w:cs="仿宋_GB2312"/>
          <w:color w:val="auto"/>
          <w:sz w:val="32"/>
          <w:szCs w:val="32"/>
        </w:rPr>
        <w:t>，及时受理申请，</w:t>
      </w:r>
      <w:r>
        <w:rPr>
          <w:rFonts w:hint="eastAsia" w:ascii="仿宋_GB2312" w:hAnsi="仿宋_GB2312" w:eastAsia="仿宋_GB2312" w:cs="仿宋_GB2312"/>
          <w:color w:val="auto"/>
          <w:sz w:val="32"/>
          <w:szCs w:val="32"/>
          <w:lang w:val="zh-CN"/>
        </w:rPr>
        <w:t>纳入康复救助范围。</w:t>
      </w:r>
    </w:p>
    <w:p>
      <w:pPr>
        <w:spacing w:line="60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lang w:val="zh-CN"/>
        </w:rPr>
        <w:t>（</w:t>
      </w:r>
      <w:r>
        <w:rPr>
          <w:rFonts w:ascii="楷体" w:hAnsi="楷体" w:eastAsia="楷体" w:cs="楷体"/>
          <w:color w:val="auto"/>
          <w:sz w:val="32"/>
          <w:szCs w:val="32"/>
        </w:rPr>
        <w:t>四</w:t>
      </w:r>
      <w:r>
        <w:rPr>
          <w:rFonts w:hint="eastAsia" w:ascii="楷体" w:hAnsi="楷体" w:eastAsia="楷体" w:cs="楷体"/>
          <w:color w:val="auto"/>
          <w:sz w:val="32"/>
          <w:szCs w:val="32"/>
          <w:lang w:val="zh-CN"/>
        </w:rPr>
        <w:t>）为残疾儿童异地康复提供便利。</w:t>
      </w:r>
      <w:r>
        <w:rPr>
          <w:rFonts w:hint="default" w:ascii="仿宋_GB2312" w:hAnsi="仿宋_GB2312" w:eastAsia="仿宋_GB2312" w:cs="仿宋_GB2312"/>
          <w:color w:val="auto"/>
          <w:sz w:val="32"/>
          <w:szCs w:val="32"/>
        </w:rPr>
        <w:t>市州</w:t>
      </w:r>
      <w:r>
        <w:rPr>
          <w:rFonts w:hint="eastAsia" w:ascii="仿宋_GB2312" w:hAnsi="仿宋_GB2312" w:eastAsia="仿宋_GB2312" w:cs="仿宋_GB2312"/>
          <w:color w:val="auto"/>
          <w:sz w:val="32"/>
          <w:szCs w:val="32"/>
          <w:lang w:val="zh-CN"/>
        </w:rPr>
        <w:t>残联要指导、督促所辖县（市、区）残联切实落实由残疾儿童家庭自主选择定点康复机构的政策要求，</w:t>
      </w:r>
      <w:r>
        <w:rPr>
          <w:rFonts w:ascii="仿宋_GB2312" w:hAnsi="仿宋_GB2312" w:eastAsia="仿宋_GB2312" w:cs="仿宋_GB2312"/>
          <w:color w:val="auto"/>
          <w:sz w:val="32"/>
          <w:szCs w:val="32"/>
        </w:rPr>
        <w:t>不得设置障碍，</w:t>
      </w:r>
      <w:r>
        <w:rPr>
          <w:rFonts w:hint="eastAsia" w:ascii="仿宋_GB2312" w:hAnsi="仿宋_GB2312" w:eastAsia="仿宋_GB2312" w:cs="仿宋_GB2312"/>
          <w:color w:val="auto"/>
          <w:sz w:val="32"/>
          <w:szCs w:val="32"/>
          <w:lang w:val="zh-CN"/>
        </w:rPr>
        <w:t>并主动为残疾儿童家庭选择异地定点康复机构、接受康复救助提供便利。异地康复</w:t>
      </w:r>
      <w:r>
        <w:rPr>
          <w:rFonts w:ascii="仿宋_GB2312" w:hAnsi="仿宋_GB2312" w:eastAsia="仿宋_GB2312" w:cs="仿宋_GB2312"/>
          <w:color w:val="auto"/>
          <w:sz w:val="32"/>
          <w:szCs w:val="32"/>
        </w:rPr>
        <w:t>回原籍地领取救助资金的，必须按照</w:t>
      </w:r>
      <w:r>
        <w:rPr>
          <w:rFonts w:ascii="仿宋_GB2312" w:hAnsi="仿宋_GB2312" w:eastAsia="仿宋_GB2312" w:cs="仿宋_GB2312"/>
          <w:strike w:val="0"/>
          <w:dstrike w:val="0"/>
          <w:color w:val="auto"/>
          <w:sz w:val="32"/>
          <w:szCs w:val="32"/>
        </w:rPr>
        <w:t>湖南省关于惠民惠农补贴项目清理整合工作的</w:t>
      </w:r>
      <w:r>
        <w:rPr>
          <w:rFonts w:ascii="仿宋_GB2312" w:hAnsi="仿宋_GB2312" w:eastAsia="仿宋_GB2312" w:cs="仿宋_GB2312"/>
          <w:color w:val="auto"/>
          <w:sz w:val="32"/>
          <w:szCs w:val="32"/>
        </w:rPr>
        <w:t>要求，采取惠民惠农“一卡通”方式发放，未采用“一卡通”方式的地方2021年内全部整改到位。</w:t>
      </w:r>
    </w:p>
    <w:p>
      <w:pPr>
        <w:spacing w:line="600" w:lineRule="exact"/>
        <w:ind w:firstLine="640" w:firstLineChars="200"/>
        <w:rPr>
          <w:rFonts w:ascii="黑体" w:hAnsi="黑体" w:eastAsia="黑体" w:cs="黑体"/>
          <w:color w:val="auto"/>
          <w:sz w:val="32"/>
          <w:szCs w:val="32"/>
          <w:lang w:val="zh-CN"/>
        </w:rPr>
      </w:pPr>
      <w:r>
        <w:rPr>
          <w:rFonts w:ascii="黑体" w:hAnsi="黑体" w:eastAsia="黑体" w:cs="黑体"/>
          <w:color w:val="auto"/>
          <w:sz w:val="32"/>
          <w:szCs w:val="32"/>
          <w:lang w:val="zh-CN"/>
        </w:rPr>
        <w:t>二</w:t>
      </w:r>
      <w:r>
        <w:rPr>
          <w:rFonts w:hint="eastAsia" w:ascii="黑体" w:hAnsi="黑体" w:eastAsia="黑体" w:cs="黑体"/>
          <w:color w:val="auto"/>
          <w:sz w:val="32"/>
          <w:szCs w:val="32"/>
          <w:lang w:val="zh-CN"/>
        </w:rPr>
        <w:t>、严格</w:t>
      </w:r>
      <w:r>
        <w:rPr>
          <w:rFonts w:ascii="黑体" w:hAnsi="黑体" w:eastAsia="黑体" w:cs="黑体"/>
          <w:color w:val="auto"/>
          <w:sz w:val="32"/>
          <w:szCs w:val="32"/>
        </w:rPr>
        <w:t>定点</w:t>
      </w:r>
      <w:r>
        <w:rPr>
          <w:rFonts w:hint="eastAsia" w:ascii="黑体" w:hAnsi="黑体" w:eastAsia="黑体" w:cs="黑体"/>
          <w:color w:val="auto"/>
          <w:sz w:val="32"/>
          <w:szCs w:val="32"/>
          <w:lang w:val="zh-CN"/>
        </w:rPr>
        <w:t>机构准入</w:t>
      </w:r>
      <w:r>
        <w:rPr>
          <w:rFonts w:ascii="黑体" w:hAnsi="黑体" w:eastAsia="黑体" w:cs="黑体"/>
          <w:color w:val="auto"/>
          <w:sz w:val="32"/>
          <w:szCs w:val="32"/>
        </w:rPr>
        <w:t>与</w:t>
      </w:r>
      <w:r>
        <w:rPr>
          <w:rFonts w:hint="eastAsia" w:ascii="黑体" w:hAnsi="黑体" w:eastAsia="黑体" w:cs="黑体"/>
          <w:color w:val="auto"/>
          <w:sz w:val="32"/>
          <w:szCs w:val="32"/>
          <w:lang w:val="zh-CN"/>
        </w:rPr>
        <w:t>管理</w:t>
      </w:r>
    </w:p>
    <w:p>
      <w:pPr>
        <w:spacing w:line="600" w:lineRule="exact"/>
        <w:ind w:firstLine="640" w:firstLineChars="200"/>
        <w:rPr>
          <w:rFonts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lang w:val="zh-CN"/>
        </w:rPr>
        <w:t>残联</w:t>
      </w:r>
      <w:r>
        <w:rPr>
          <w:rFonts w:hint="eastAsia" w:ascii="仿宋_GB2312" w:hAnsi="仿宋_GB2312" w:eastAsia="仿宋_GB2312" w:cs="仿宋_GB2312"/>
          <w:color w:val="auto"/>
          <w:sz w:val="32"/>
          <w:szCs w:val="32"/>
          <w:lang w:val="zh-CN"/>
        </w:rPr>
        <w:t>要按照《湖南省残疾儿童康复救助定点服务机构准入标准及退出机制》规定的评审程序、评审方法、评审标准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开展康复机构定点准入评审,加强对机构的日常管理。</w:t>
      </w:r>
    </w:p>
    <w:p>
      <w:pPr>
        <w:spacing w:line="60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lang w:val="zh-CN"/>
        </w:rPr>
        <w:t>（一）严格准入标准。</w:t>
      </w:r>
      <w:r>
        <w:rPr>
          <w:rFonts w:hint="eastAsia" w:ascii="仿宋_GB2312" w:hAnsi="仿宋_GB2312" w:eastAsia="仿宋_GB2312" w:cs="仿宋_GB2312"/>
          <w:color w:val="auto"/>
          <w:sz w:val="32"/>
          <w:szCs w:val="32"/>
          <w:lang w:val="zh-CN"/>
        </w:rPr>
        <w:t>根据</w:t>
      </w:r>
      <w:r>
        <w:rPr>
          <w:rFonts w:hint="eastAsia" w:ascii="仿宋_GB2312" w:hAnsi="仿宋_GB2312" w:eastAsia="仿宋_GB2312" w:cs="仿宋_GB2312"/>
          <w:color w:val="auto"/>
          <w:sz w:val="32"/>
          <w:szCs w:val="32"/>
        </w:rPr>
        <w:t>《中华人民共和国消防法》《湖南省实施&lt;中华人民共和国消防法&gt;办法》等消防有关法律法规</w:t>
      </w:r>
      <w:r>
        <w:rPr>
          <w:rFonts w:ascii="仿宋_GB2312" w:hAnsi="仿宋_GB2312" w:eastAsia="仿宋_GB2312" w:cs="仿宋_GB2312"/>
          <w:color w:val="auto"/>
          <w:sz w:val="32"/>
          <w:szCs w:val="32"/>
        </w:rPr>
        <w:t>，参照</w:t>
      </w:r>
      <w:r>
        <w:rPr>
          <w:rFonts w:hint="eastAsia" w:ascii="仿宋_GB2312" w:hAnsi="仿宋_GB2312" w:eastAsia="仿宋_GB2312" w:cs="仿宋_GB2312"/>
          <w:color w:val="auto"/>
          <w:sz w:val="32"/>
          <w:szCs w:val="32"/>
          <w:lang w:val="zh-CN"/>
        </w:rPr>
        <w:t>《建设工程消防设计审查验收管理暂行规定》（中华人民共和国住房和城乡建设部第51号令）</w:t>
      </w:r>
      <w:r>
        <w:rPr>
          <w:rFonts w:ascii="仿宋_GB2312" w:hAnsi="仿宋_GB2312" w:eastAsia="仿宋_GB2312" w:cs="仿宋_GB2312"/>
          <w:color w:val="auto"/>
          <w:sz w:val="32"/>
          <w:szCs w:val="32"/>
        </w:rPr>
        <w:t>关于特殊建设工程消防设计审查</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rPr>
        <w:t>总建筑面积大于一千平方米的托儿所、幼儿园的儿童用房，儿童游乐厅等室内儿童活动场所，养老院、福利院，医院、疗养院的病房楼，中小学校的教学楼、图书馆、食堂，学校的集体宿舍，劳动密集型企业的员工集体宿舍</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rPr>
        <w:t>属于特殊建设工程，“对特殊建设工程实行消防设计审查制度”“对特殊建设工程实行消防验收制度”“对其他建设工程实行备案抽查制度”以及市州、县市区关于建设工程消防验收、备案抽查的</w:t>
      </w:r>
      <w:r>
        <w:rPr>
          <w:rFonts w:hint="eastAsia" w:ascii="仿宋_GB2312" w:hAnsi="仿宋_GB2312" w:eastAsia="仿宋_GB2312" w:cs="仿宋_GB2312"/>
          <w:color w:val="auto"/>
          <w:sz w:val="32"/>
          <w:szCs w:val="32"/>
          <w:lang w:val="zh-CN"/>
        </w:rPr>
        <w:t>有关</w:t>
      </w:r>
      <w:r>
        <w:rPr>
          <w:rFonts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zh-CN"/>
        </w:rPr>
        <w:t>，定点康复机构消防设施建设、器材配置等应当符合消防安全规定条件，</w:t>
      </w:r>
      <w:r>
        <w:rPr>
          <w:rFonts w:hint="eastAsia" w:ascii="仿宋_GB2312" w:hAnsi="仿宋_GB2312" w:eastAsia="仿宋_GB2312" w:cs="仿宋_GB2312"/>
          <w:color w:val="auto"/>
          <w:sz w:val="32"/>
          <w:szCs w:val="32"/>
        </w:rPr>
        <w:t>取得消防合格证明文件，</w:t>
      </w:r>
      <w:r>
        <w:rPr>
          <w:rFonts w:hint="default" w:ascii="仿宋_GB2312" w:hAnsi="仿宋_GB2312" w:eastAsia="仿宋_GB2312" w:cs="仿宋_GB2312"/>
          <w:color w:val="auto"/>
          <w:sz w:val="32"/>
          <w:szCs w:val="32"/>
        </w:rPr>
        <w:t>市州</w:t>
      </w:r>
      <w:r>
        <w:rPr>
          <w:rFonts w:hint="eastAsia" w:ascii="仿宋_GB2312" w:hAnsi="仿宋_GB2312" w:eastAsia="仿宋_GB2312" w:cs="仿宋_GB2312"/>
          <w:color w:val="auto"/>
          <w:sz w:val="32"/>
          <w:szCs w:val="32"/>
          <w:lang w:val="zh-CN"/>
        </w:rPr>
        <w:t>残联要据此做好新申请定点机构</w:t>
      </w:r>
      <w:r>
        <w:rPr>
          <w:rFonts w:ascii="仿宋_GB2312" w:hAnsi="仿宋_GB2312" w:eastAsia="仿宋_GB2312" w:cs="仿宋_GB2312"/>
          <w:color w:val="auto"/>
          <w:sz w:val="32"/>
          <w:szCs w:val="32"/>
        </w:rPr>
        <w:t>准入认定</w:t>
      </w:r>
      <w:r>
        <w:rPr>
          <w:rFonts w:hint="eastAsia" w:ascii="仿宋_GB2312" w:hAnsi="仿宋_GB2312" w:eastAsia="仿宋_GB2312" w:cs="仿宋_GB2312"/>
          <w:color w:val="auto"/>
          <w:sz w:val="32"/>
          <w:szCs w:val="32"/>
          <w:lang w:val="zh-CN"/>
        </w:rPr>
        <w:t>。</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（二）优化空间布局。</w:t>
      </w:r>
      <w:r>
        <w:rPr>
          <w:rFonts w:hint="eastAsia" w:ascii="仿宋_GB2312" w:hAnsi="仿宋_GB2312" w:eastAsia="仿宋_GB2312" w:cs="仿宋_GB2312"/>
          <w:color w:val="auto"/>
          <w:sz w:val="32"/>
          <w:szCs w:val="32"/>
          <w:lang w:val="zh-CN"/>
        </w:rPr>
        <w:t>市州残联要根据残疾人口数量、分布状况、服务需求和已有</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机构服务辐射能力等因素，按照立足当前、着眼长远、整合资源、满足需要的原则，统筹规划定点机构的空间布局</w:t>
      </w:r>
      <w:r>
        <w:rPr>
          <w:rFonts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推进区域内各类别康复服务均衡发展，满足残疾儿童多样化、高质量康复服务需求。要合理把控一定区域范围内承接服务的同一残疾类别的定点机构数量，防止资源浪费，构建良性竞争格局</w:t>
      </w:r>
      <w:r>
        <w:rPr>
          <w:rFonts w:ascii="仿宋_GB2312" w:hAnsi="仿宋_GB2312" w:eastAsia="仿宋_GB2312" w:cs="仿宋_GB2312"/>
          <w:color w:val="auto"/>
          <w:sz w:val="32"/>
          <w:szCs w:val="32"/>
          <w:lang w:val="zh-CN"/>
        </w:rPr>
        <w:t>。</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（三）明确省级定点机构范围和程序。</w:t>
      </w:r>
      <w:r>
        <w:rPr>
          <w:rFonts w:ascii="仿宋_GB2312" w:hAnsi="仿宋_GB2312" w:eastAsia="仿宋_GB2312" w:cs="仿宋_GB2312"/>
          <w:color w:val="auto"/>
          <w:sz w:val="32"/>
          <w:szCs w:val="32"/>
        </w:rPr>
        <w:t>省级定点机构是指省残联认定准入的人工耳蜗手术机构、省级肢体矫治手术机构等康复机构。</w:t>
      </w:r>
      <w:r>
        <w:rPr>
          <w:rFonts w:hint="eastAsia" w:ascii="仿宋_GB2312" w:hAnsi="仿宋_GB2312" w:eastAsia="仿宋_GB2312" w:cs="仿宋_GB2312"/>
          <w:color w:val="auto"/>
          <w:sz w:val="32"/>
          <w:szCs w:val="32"/>
          <w:lang w:val="zh-CN"/>
        </w:rPr>
        <w:t>人工耳蜗手术机构定点,经</w:t>
      </w:r>
      <w:r>
        <w:rPr>
          <w:rFonts w:ascii="仿宋_GB2312" w:hAnsi="仿宋_GB2312" w:eastAsia="仿宋_GB2312" w:cs="仿宋_GB2312"/>
          <w:color w:val="auto"/>
          <w:sz w:val="32"/>
          <w:szCs w:val="32"/>
        </w:rPr>
        <w:t>同级</w:t>
      </w:r>
      <w:r>
        <w:rPr>
          <w:rFonts w:hint="eastAsia" w:ascii="仿宋_GB2312" w:hAnsi="仿宋_GB2312" w:eastAsia="仿宋_GB2312" w:cs="仿宋_GB2312"/>
          <w:color w:val="auto"/>
          <w:sz w:val="32"/>
          <w:szCs w:val="32"/>
          <w:lang w:val="zh-CN"/>
        </w:rPr>
        <w:t>卫健部门推荐，省残联组织专家评审,按《湖南省残疾儿童康复救助定点服务机构管理指南》（以下简称《管理指南》）“听力残疾儿童康复救助人工耳蜗手术定点机构准入条件”和有关程序认定</w:t>
      </w:r>
      <w:r>
        <w:rPr>
          <w:rFonts w:ascii="仿宋_GB2312" w:hAnsi="仿宋_GB2312" w:eastAsia="仿宋_GB2312" w:cs="仿宋_GB2312"/>
          <w:color w:val="auto"/>
          <w:sz w:val="32"/>
          <w:szCs w:val="32"/>
        </w:rPr>
        <w:t>（附件</w:t>
      </w:r>
      <w:r>
        <w:rPr>
          <w:rFonts w:hint="default"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。省级肢体矫治手术机构在省直三甲医院、中南大学附属医院、三级康复专科医院中定点，由省残联组织专家评审，按《管理指南》“残疾儿童肢体矫治手术机构定点准入条件”和有关程序认定</w:t>
      </w:r>
      <w:r>
        <w:rPr>
          <w:rFonts w:ascii="仿宋_GB2312" w:hAnsi="仿宋_GB2312" w:eastAsia="仿宋_GB2312" w:cs="仿宋_GB2312"/>
          <w:color w:val="auto"/>
          <w:sz w:val="32"/>
          <w:szCs w:val="32"/>
        </w:rPr>
        <w:t>（附件3）</w:t>
      </w:r>
      <w:r>
        <w:rPr>
          <w:rFonts w:hint="eastAsia" w:ascii="仿宋_GB2312" w:hAnsi="仿宋_GB2312" w:eastAsia="仿宋_GB2312" w:cs="仿宋_GB2312"/>
          <w:color w:val="auto"/>
          <w:sz w:val="32"/>
          <w:szCs w:val="32"/>
          <w:lang w:val="zh-CN"/>
        </w:rPr>
        <w:t>。</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（四）规范辅具适配服务机构准入。</w:t>
      </w:r>
      <w:r>
        <w:rPr>
          <w:rFonts w:hint="eastAsia" w:ascii="仿宋_GB2312" w:hAnsi="仿宋_GB2312" w:eastAsia="仿宋_GB2312" w:cs="仿宋_GB2312"/>
          <w:color w:val="auto"/>
          <w:sz w:val="32"/>
          <w:szCs w:val="32"/>
          <w:lang w:val="zh-CN"/>
        </w:rPr>
        <w:t>从事辅助器具适配服务的</w:t>
      </w:r>
      <w:r>
        <w:rPr>
          <w:rFonts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zh-CN"/>
        </w:rPr>
        <w:t>，应取得国家规定开展相关业务的相应资质，按照《湖南省残疾人辅助器具适配定点服务机构管理与服务指南（试行）》规定的条件和程序，填写《湖南省残疾儿童辅助器具适配服务定点机构申报</w:t>
      </w:r>
      <w:r>
        <w:rPr>
          <w:rFonts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zh-CN"/>
        </w:rPr>
        <w:t>表》（附件</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CN"/>
        </w:rPr>
        <w:t>）申请</w:t>
      </w:r>
      <w:r>
        <w:rPr>
          <w:rFonts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zh-CN"/>
        </w:rPr>
        <w:t>。</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（五）落实协议管理制度。</w:t>
      </w:r>
      <w:r>
        <w:rPr>
          <w:rFonts w:hint="default" w:ascii="仿宋_GB2312" w:hAnsi="仿宋_GB2312" w:eastAsia="仿宋_GB2312" w:cs="仿宋_GB2312"/>
          <w:color w:val="auto"/>
          <w:sz w:val="32"/>
          <w:szCs w:val="32"/>
        </w:rPr>
        <w:t>市州、县市区</w:t>
      </w:r>
      <w:r>
        <w:rPr>
          <w:rFonts w:hint="eastAsia" w:ascii="仿宋_GB2312" w:hAnsi="仿宋_GB2312" w:eastAsia="仿宋_GB2312" w:cs="仿宋_GB2312"/>
          <w:color w:val="auto"/>
          <w:sz w:val="32"/>
          <w:szCs w:val="32"/>
          <w:lang w:val="zh-CN"/>
        </w:rPr>
        <w:t>残联</w:t>
      </w:r>
      <w:r>
        <w:rPr>
          <w:rFonts w:ascii="仿宋_GB2312" w:hAnsi="仿宋_GB2312" w:eastAsia="仿宋_GB2312" w:cs="仿宋_GB2312"/>
          <w:color w:val="auto"/>
          <w:sz w:val="32"/>
          <w:szCs w:val="32"/>
        </w:rPr>
        <w:t>要与</w:t>
      </w:r>
      <w:r>
        <w:rPr>
          <w:rFonts w:hint="eastAsia" w:ascii="仿宋_GB2312" w:hAnsi="仿宋_GB2312" w:eastAsia="仿宋_GB2312" w:cs="仿宋_GB2312"/>
          <w:color w:val="auto"/>
          <w:sz w:val="32"/>
          <w:szCs w:val="32"/>
          <w:lang w:val="zh-CN"/>
        </w:rPr>
        <w:t>定点机构签订具有法律效力、权责明晰的服务协议，协议期</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zh-CN"/>
        </w:rPr>
        <w:t>三年。要指导定点机构加强内部管理，从财务管理、人事劳资、安全管理、行政后勤、部门职能、岗位职责、档案管理等方面整章建制，并严格执行。</w:t>
      </w:r>
    </w:p>
    <w:p>
      <w:pPr>
        <w:spacing w:line="600" w:lineRule="exact"/>
        <w:ind w:firstLine="640" w:firstLineChars="200"/>
        <w:rPr>
          <w:rFonts w:ascii="仿宋_GB2312" w:hAnsi="仿宋_GB2312" w:eastAsia="仿宋_GB2312" w:cs="仿宋_GB2312"/>
          <w:color w:val="auto"/>
          <w:sz w:val="32"/>
          <w:szCs w:val="32"/>
          <w:lang w:val="zh-CN"/>
        </w:rPr>
      </w:pPr>
      <w:r>
        <w:rPr>
          <w:rFonts w:ascii="楷体" w:hAnsi="楷体" w:eastAsia="楷体" w:cs="楷体"/>
          <w:color w:val="auto"/>
          <w:sz w:val="32"/>
          <w:szCs w:val="32"/>
          <w:lang w:val="zh-CN"/>
        </w:rPr>
        <w:t>（六）规范财务管理。</w:t>
      </w:r>
      <w:r>
        <w:rPr>
          <w:rFonts w:ascii="仿宋_GB2312" w:hAnsi="仿宋_GB2312" w:eastAsia="仿宋_GB2312" w:cs="仿宋_GB2312"/>
          <w:color w:val="auto"/>
          <w:sz w:val="32"/>
          <w:szCs w:val="32"/>
          <w:lang w:val="zh-CN"/>
        </w:rPr>
        <w:t>定点机构要按照</w:t>
      </w:r>
      <w:r>
        <w:rPr>
          <w:rFonts w:hint="eastAsia" w:ascii="仿宋_GB2312" w:hAnsi="仿宋_GB2312" w:eastAsia="仿宋_GB2312" w:cs="仿宋_GB2312"/>
          <w:color w:val="auto"/>
          <w:sz w:val="32"/>
          <w:szCs w:val="32"/>
          <w:lang w:val="zh-CN"/>
        </w:rPr>
        <w:t>《操作办法》</w:t>
      </w:r>
      <w:r>
        <w:rPr>
          <w:rFonts w:ascii="仿宋_GB2312" w:hAnsi="仿宋_GB2312" w:eastAsia="仿宋_GB2312" w:cs="仿宋_GB2312"/>
          <w:color w:val="auto"/>
          <w:sz w:val="32"/>
          <w:szCs w:val="32"/>
          <w:lang w:val="zh-CN"/>
        </w:rPr>
        <w:t>的规定，严格落实资金用途，救助资金用于康复训练、康复评估、家长培训、康复教材、功能房布置、人员培训</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CN"/>
        </w:rPr>
        <w:t>辅具</w:t>
      </w:r>
      <w:r>
        <w:rPr>
          <w:rFonts w:hint="eastAsia" w:ascii="仿宋_GB2312" w:hAnsi="仿宋_GB2312" w:eastAsia="仿宋_GB2312" w:cs="仿宋_GB2312"/>
          <w:color w:val="auto"/>
          <w:sz w:val="32"/>
          <w:szCs w:val="32"/>
          <w:lang w:val="zh-CN"/>
        </w:rPr>
        <w:t>采购</w:t>
      </w:r>
      <w:r>
        <w:rPr>
          <w:rFonts w:ascii="仿宋_GB2312" w:hAnsi="仿宋_GB2312" w:eastAsia="仿宋_GB2312" w:cs="仿宋_GB2312"/>
          <w:color w:val="auto"/>
          <w:sz w:val="32"/>
          <w:szCs w:val="32"/>
          <w:lang w:val="zh-CN"/>
        </w:rPr>
        <w:t>、适配服务</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CN"/>
        </w:rPr>
        <w:t>康复手术等残疾人康复服务</w:t>
      </w:r>
      <w:r>
        <w:rPr>
          <w:rFonts w:ascii="仿宋_GB2312" w:hAnsi="仿宋_GB2312" w:eastAsia="仿宋_GB2312" w:cs="仿宋_GB2312"/>
          <w:color w:val="auto"/>
          <w:sz w:val="32"/>
          <w:szCs w:val="32"/>
        </w:rPr>
        <w:t>及服务支持性、保障性支出</w:t>
      </w:r>
      <w:r>
        <w:rPr>
          <w:rFonts w:ascii="仿宋_GB2312" w:hAnsi="仿宋_GB2312" w:eastAsia="仿宋_GB2312" w:cs="仿宋_GB2312"/>
          <w:color w:val="auto"/>
          <w:sz w:val="32"/>
          <w:szCs w:val="32"/>
          <w:lang w:val="zh-CN"/>
        </w:rPr>
        <w:t>方面</w:t>
      </w:r>
      <w:r>
        <w:rPr>
          <w:rFonts w:ascii="仿宋_GB2312" w:hAnsi="仿宋_GB2312" w:eastAsia="仿宋_GB2312" w:cs="仿宋_GB2312"/>
          <w:color w:val="auto"/>
          <w:sz w:val="32"/>
          <w:szCs w:val="32"/>
        </w:rPr>
        <w:t>，严禁列支康复服务无关用途</w:t>
      </w:r>
      <w:r>
        <w:rPr>
          <w:rFonts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财政资金务必做到专款专用、建立专</w:t>
      </w:r>
      <w:r>
        <w:rPr>
          <w:rFonts w:ascii="仿宋_GB2312" w:hAnsi="仿宋_GB2312" w:eastAsia="仿宋_GB2312" w:cs="仿宋_GB2312"/>
          <w:color w:val="auto"/>
          <w:sz w:val="32"/>
          <w:szCs w:val="32"/>
        </w:rPr>
        <w:t>账</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lang w:val="zh-CN"/>
        </w:rPr>
        <w:t>残联要加强对定点机构财务管理的指导，</w:t>
      </w:r>
      <w:r>
        <w:rPr>
          <w:rFonts w:ascii="仿宋_GB2312" w:hAnsi="仿宋_GB2312" w:eastAsia="仿宋_GB2312" w:cs="仿宋_GB2312"/>
          <w:color w:val="auto"/>
          <w:sz w:val="32"/>
          <w:szCs w:val="32"/>
        </w:rPr>
        <w:t>督促定点机构</w:t>
      </w:r>
      <w:r>
        <w:rPr>
          <w:rFonts w:ascii="仿宋_GB2312" w:hAnsi="仿宋_GB2312" w:eastAsia="仿宋_GB2312" w:cs="仿宋_GB2312"/>
          <w:color w:val="auto"/>
          <w:sz w:val="32"/>
          <w:szCs w:val="32"/>
          <w:lang w:val="zh-CN"/>
        </w:rPr>
        <w:t>严格按照规定使用资金。</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（七）强化日常监督。</w:t>
      </w:r>
      <w:r>
        <w:rPr>
          <w:rFonts w:hint="eastAsia" w:ascii="仿宋_GB2312" w:hAnsi="仿宋_GB2312" w:eastAsia="仿宋_GB2312" w:cs="仿宋_GB2312"/>
          <w:color w:val="auto"/>
          <w:sz w:val="32"/>
          <w:szCs w:val="32"/>
          <w:lang w:val="zh-CN"/>
        </w:rPr>
        <w:t>残联要加强同民政、财政、教育、卫健、市场监管等部门的工作衔接，及时掌握机构违法违规信息，对违规经营、严重失信、低质服务的机构要及时予以清退，保护好残疾儿童合法权益。有《湖南省残疾儿童康复救助定点服务机构准入标准及退出机制》规定强制退出</w:t>
      </w:r>
      <w:r>
        <w:rPr>
          <w:rFonts w:ascii="仿宋_GB2312" w:hAnsi="仿宋_GB2312" w:eastAsia="仿宋_GB2312" w:cs="仿宋_GB2312"/>
          <w:color w:val="auto"/>
          <w:sz w:val="32"/>
          <w:szCs w:val="32"/>
          <w:lang w:val="zh-CN"/>
        </w:rPr>
        <w:t>、评价退出和自动退出情形的，启动退出机制予以退出</w:t>
      </w:r>
      <w:r>
        <w:rPr>
          <w:rFonts w:hint="eastAsia" w:ascii="仿宋_GB2312" w:hAnsi="仿宋_GB2312" w:eastAsia="仿宋_GB2312" w:cs="仿宋_GB2312"/>
          <w:color w:val="auto"/>
          <w:sz w:val="32"/>
          <w:szCs w:val="32"/>
          <w:lang w:val="zh-CN"/>
        </w:rPr>
        <w:t>。对于存在套取救助资金、发生严重安全或者重大责任事故、拒不接受或者不按规定接受监督检查，伤害、虐待儿童等行为的，要按相关规定追究有关人员责任，构成犯罪的，依法追究刑事责任。</w:t>
      </w:r>
    </w:p>
    <w:p>
      <w:pPr>
        <w:spacing w:line="600" w:lineRule="exact"/>
        <w:ind w:firstLine="640" w:firstLineChars="200"/>
        <w:rPr>
          <w:rFonts w:hint="default" w:ascii="仿宋_GB2312" w:hAnsi="仿宋_GB2312" w:eastAsia="仿宋_GB2312" w:cs="仿宋_GB2312"/>
          <w:color w:val="auto"/>
          <w:sz w:val="32"/>
          <w:szCs w:val="32"/>
        </w:rPr>
      </w:pPr>
      <w:r>
        <w:rPr>
          <w:rFonts w:hint="eastAsia" w:ascii="楷体" w:hAnsi="楷体" w:eastAsia="楷体" w:cs="楷体"/>
          <w:color w:val="auto"/>
          <w:sz w:val="32"/>
          <w:szCs w:val="32"/>
          <w:lang w:val="zh-CN"/>
        </w:rPr>
        <w:t>（</w:t>
      </w:r>
      <w:r>
        <w:rPr>
          <w:rFonts w:ascii="楷体" w:hAnsi="楷体" w:eastAsia="楷体" w:cs="楷体"/>
          <w:color w:val="auto"/>
          <w:sz w:val="32"/>
          <w:szCs w:val="32"/>
          <w:lang w:val="zh-CN"/>
        </w:rPr>
        <w:t>八</w:t>
      </w:r>
      <w:r>
        <w:rPr>
          <w:rFonts w:hint="eastAsia" w:ascii="楷体" w:hAnsi="楷体" w:eastAsia="楷体" w:cs="楷体"/>
          <w:color w:val="auto"/>
          <w:sz w:val="32"/>
          <w:szCs w:val="32"/>
          <w:lang w:val="zh-CN"/>
        </w:rPr>
        <w:t>）严格星级评定工作要求。</w:t>
      </w:r>
      <w:r>
        <w:rPr>
          <w:rFonts w:hint="eastAsia" w:ascii="仿宋_GB2312" w:hAnsi="仿宋_GB2312" w:eastAsia="仿宋_GB2312" w:cs="仿宋_GB2312"/>
          <w:color w:val="auto"/>
          <w:sz w:val="32"/>
          <w:szCs w:val="32"/>
          <w:lang w:val="zh-CN"/>
        </w:rPr>
        <w:t>市州残联要严格按照《星级评定工作用表》要求，从严控制，客观评定，公平公正地开展三星级（含）以下星级机构的评定工作</w:t>
      </w:r>
      <w:r>
        <w:rPr>
          <w:rFonts w:ascii="仿宋_GB2312" w:hAnsi="仿宋_GB2312" w:eastAsia="仿宋_GB2312" w:cs="仿宋_GB2312"/>
          <w:color w:val="auto"/>
          <w:sz w:val="32"/>
          <w:szCs w:val="32"/>
          <w:lang w:val="zh-CN"/>
        </w:rPr>
        <w:t>，省残联组织专家组对</w:t>
      </w:r>
      <w:r>
        <w:rPr>
          <w:rFonts w:ascii="仿宋_GB2312" w:hAnsi="仿宋_GB2312" w:eastAsia="仿宋_GB2312" w:cs="仿宋_GB2312"/>
          <w:color w:val="auto"/>
          <w:sz w:val="32"/>
          <w:szCs w:val="32"/>
        </w:rPr>
        <w:t>市州残联</w:t>
      </w:r>
      <w:r>
        <w:rPr>
          <w:rFonts w:ascii="仿宋_GB2312" w:hAnsi="仿宋_GB2312" w:eastAsia="仿宋_GB2312" w:cs="仿宋_GB2312"/>
          <w:color w:val="auto"/>
          <w:sz w:val="32"/>
          <w:szCs w:val="32"/>
          <w:lang w:val="zh-CN"/>
        </w:rPr>
        <w:t>星级评定结果进行抽查。</w:t>
      </w:r>
      <w:r>
        <w:rPr>
          <w:rFonts w:hint="eastAsia" w:ascii="仿宋_GB2312" w:hAnsi="仿宋_GB2312" w:eastAsia="仿宋_GB2312" w:cs="仿宋_GB2312"/>
          <w:color w:val="auto"/>
          <w:sz w:val="32"/>
          <w:szCs w:val="32"/>
          <w:lang w:val="zh-CN"/>
        </w:rPr>
        <w:t>在星级评定有效期内，市州残联要加强对</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机构的检查和随机抽查。发现有不符合评定星级标准或违规现象的，提出整改意见，1个月内整改不达标的给予降低直至取消星级处理，取消星级的，退出定点机构范围，并由检查和抽查单位向社会公布。</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机构要对照《管理指南》《星级评定工作用表》中的要求，苦练内功，积极创建，提升服务水平。</w:t>
      </w:r>
    </w:p>
    <w:p>
      <w:pPr>
        <w:spacing w:line="600" w:lineRule="exact"/>
        <w:ind w:firstLine="640" w:firstLineChars="200"/>
        <w:rPr>
          <w:rFonts w:ascii="黑体" w:hAnsi="黑体" w:eastAsia="黑体" w:cs="黑体"/>
          <w:color w:val="auto"/>
          <w:sz w:val="32"/>
          <w:szCs w:val="32"/>
          <w:lang w:val="zh-CN"/>
        </w:rPr>
      </w:pPr>
      <w:r>
        <w:rPr>
          <w:rFonts w:ascii="黑体" w:hAnsi="黑体" w:eastAsia="黑体" w:cs="黑体"/>
          <w:color w:val="auto"/>
          <w:sz w:val="32"/>
          <w:szCs w:val="32"/>
          <w:lang w:val="zh-CN"/>
        </w:rPr>
        <w:t>三</w:t>
      </w:r>
      <w:r>
        <w:rPr>
          <w:rFonts w:hint="eastAsia" w:ascii="黑体" w:hAnsi="黑体" w:eastAsia="黑体" w:cs="黑体"/>
          <w:color w:val="auto"/>
          <w:sz w:val="32"/>
          <w:szCs w:val="32"/>
          <w:lang w:val="zh-CN"/>
        </w:rPr>
        <w:t>、守住</w:t>
      </w:r>
      <w:r>
        <w:rPr>
          <w:rFonts w:ascii="黑体" w:hAnsi="黑体" w:eastAsia="黑体" w:cs="黑体"/>
          <w:color w:val="auto"/>
          <w:sz w:val="32"/>
          <w:szCs w:val="32"/>
        </w:rPr>
        <w:t>定点</w:t>
      </w:r>
      <w:r>
        <w:rPr>
          <w:rFonts w:hint="eastAsia" w:ascii="黑体" w:hAnsi="黑体" w:eastAsia="黑体" w:cs="黑体"/>
          <w:color w:val="auto"/>
          <w:sz w:val="32"/>
          <w:szCs w:val="32"/>
          <w:lang w:val="zh-CN"/>
        </w:rPr>
        <w:t>机构安全底线</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加强</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机构管理，保障残疾儿童安全是康复服务的基本前提，是各级残联和</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机构的重要职责。</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（一）严格常态化疫情防控。</w:t>
      </w:r>
      <w:r>
        <w:rPr>
          <w:rFonts w:ascii="仿宋_GB2312" w:hAnsi="仿宋_GB2312" w:eastAsia="仿宋_GB2312" w:cs="仿宋_GB2312"/>
          <w:color w:val="auto"/>
          <w:sz w:val="32"/>
          <w:szCs w:val="32"/>
        </w:rPr>
        <w:t>市州、县市区</w:t>
      </w:r>
      <w:r>
        <w:rPr>
          <w:rFonts w:hint="eastAsia" w:ascii="仿宋_GB2312" w:hAnsi="仿宋_GB2312" w:eastAsia="仿宋_GB2312" w:cs="仿宋_GB2312"/>
          <w:color w:val="auto"/>
          <w:sz w:val="32"/>
          <w:szCs w:val="32"/>
          <w:lang w:val="zh-CN"/>
        </w:rPr>
        <w:t>残联</w:t>
      </w:r>
      <w:r>
        <w:rPr>
          <w:rFonts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zh-CN"/>
        </w:rPr>
        <w:t>深刻认识疫情防控的复杂性、艰巨性，克服麻痹思想、侥幸心理、放松情绪，</w:t>
      </w:r>
      <w:r>
        <w:rPr>
          <w:rFonts w:ascii="仿宋_GB2312" w:hAnsi="仿宋_GB2312" w:eastAsia="仿宋_GB2312" w:cs="仿宋_GB2312"/>
          <w:color w:val="auto"/>
          <w:sz w:val="32"/>
          <w:szCs w:val="32"/>
        </w:rPr>
        <w:t>切实</w:t>
      </w:r>
      <w:r>
        <w:rPr>
          <w:rFonts w:hint="eastAsia" w:ascii="仿宋_GB2312" w:hAnsi="仿宋_GB2312" w:eastAsia="仿宋_GB2312" w:cs="仿宋_GB2312"/>
          <w:color w:val="auto"/>
          <w:sz w:val="32"/>
          <w:szCs w:val="32"/>
        </w:rPr>
        <w:t>加强对定点机构防疫工作组织领导和指导，</w:t>
      </w:r>
      <w:r>
        <w:rPr>
          <w:rFonts w:hint="eastAsia" w:ascii="仿宋_GB2312" w:hAnsi="仿宋_GB2312" w:eastAsia="仿宋_GB2312" w:cs="仿宋_GB2312"/>
          <w:color w:val="auto"/>
          <w:sz w:val="32"/>
          <w:szCs w:val="32"/>
          <w:lang w:val="zh-CN"/>
        </w:rPr>
        <w:t>督促定点机构时刻绷紧疫情防控这根弦，按照</w:t>
      </w:r>
      <w:r>
        <w:rPr>
          <w:rFonts w:hint="default" w:ascii="仿宋_GB2312" w:hAnsi="仿宋_GB2312" w:eastAsia="仿宋_GB2312" w:cs="仿宋_GB2312"/>
          <w:strike w:val="0"/>
          <w:dstrike w:val="0"/>
          <w:color w:val="auto"/>
          <w:sz w:val="32"/>
          <w:szCs w:val="32"/>
        </w:rPr>
        <w:t>本地</w:t>
      </w:r>
      <w:r>
        <w:rPr>
          <w:rFonts w:hint="eastAsia" w:ascii="仿宋_GB2312" w:hAnsi="仿宋_GB2312" w:eastAsia="仿宋_GB2312" w:cs="仿宋_GB2312"/>
          <w:color w:val="auto"/>
          <w:sz w:val="32"/>
          <w:szCs w:val="32"/>
          <w:lang w:val="zh-CN"/>
        </w:rPr>
        <w:t>党委政府统一部署和疫情防控指挥部</w:t>
      </w:r>
      <w:r>
        <w:rPr>
          <w:rFonts w:ascii="仿宋_GB2312" w:hAnsi="仿宋_GB2312" w:eastAsia="仿宋_GB2312" w:cs="仿宋_GB2312"/>
          <w:color w:val="auto"/>
          <w:sz w:val="32"/>
          <w:szCs w:val="32"/>
        </w:rPr>
        <w:t>门</w:t>
      </w:r>
      <w:r>
        <w:rPr>
          <w:rFonts w:hint="eastAsia" w:ascii="仿宋_GB2312" w:hAnsi="仿宋_GB2312" w:eastAsia="仿宋_GB2312" w:cs="仿宋_GB2312"/>
          <w:color w:val="auto"/>
          <w:sz w:val="32"/>
          <w:szCs w:val="32"/>
          <w:lang w:val="zh-CN"/>
        </w:rPr>
        <w:t>的</w:t>
      </w:r>
      <w:r>
        <w:rPr>
          <w:rFonts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扎实做好防</w:t>
      </w:r>
      <w:r>
        <w:rPr>
          <w:rFonts w:ascii="仿宋_GB2312" w:hAnsi="仿宋_GB2312" w:eastAsia="仿宋_GB2312" w:cs="仿宋_GB2312"/>
          <w:color w:val="auto"/>
          <w:sz w:val="32"/>
          <w:szCs w:val="32"/>
        </w:rPr>
        <w:t>控</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机构要严格按照常态化疫情防控工作要求，落实各项防控措施，引导员工、残疾儿童及监护人做好个人防护，</w:t>
      </w:r>
      <w:r>
        <w:rPr>
          <w:rFonts w:ascii="仿宋_GB2312" w:hAnsi="仿宋_GB2312" w:eastAsia="仿宋_GB2312" w:cs="仿宋_GB2312"/>
          <w:color w:val="auto"/>
          <w:sz w:val="32"/>
          <w:szCs w:val="32"/>
        </w:rPr>
        <w:t>落实相关防控要求和措施</w:t>
      </w:r>
      <w:r>
        <w:rPr>
          <w:rFonts w:hint="eastAsia" w:ascii="仿宋_GB2312" w:hAnsi="仿宋_GB2312" w:eastAsia="仿宋_GB2312" w:cs="仿宋_GB2312"/>
          <w:color w:val="auto"/>
          <w:sz w:val="32"/>
          <w:szCs w:val="32"/>
          <w:lang w:val="zh-CN"/>
        </w:rPr>
        <w:t>，非必要不前往中、高风险地区。</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机构要加强疫情重大事件处置演练，掌握处置程序和方法，提高应急反应和处置能力。</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（二）切实加强消防安全</w:t>
      </w:r>
      <w:r>
        <w:rPr>
          <w:rFonts w:ascii="楷体" w:hAnsi="楷体" w:eastAsia="楷体" w:cs="楷体"/>
          <w:color w:val="auto"/>
          <w:sz w:val="32"/>
          <w:szCs w:val="32"/>
        </w:rPr>
        <w:t>，已定点的康复机构按照消防法律法规和主管部门的要求做好消防安全工作</w:t>
      </w:r>
      <w:r>
        <w:rPr>
          <w:rFonts w:hint="eastAsia" w:ascii="楷体" w:hAnsi="楷体" w:eastAsia="楷体" w:cs="楷体"/>
          <w:color w:val="auto"/>
          <w:sz w:val="32"/>
          <w:szCs w:val="32"/>
          <w:lang w:val="zh-CN"/>
        </w:rPr>
        <w:t>。</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机构应积极履行消防安全主体责任，根据消防部门要求建立健全各项消防工作制度，实行消防工作责任制，法定代表人</w:t>
      </w:r>
      <w:r>
        <w:rPr>
          <w:rFonts w:ascii="仿宋_GB2312" w:hAnsi="仿宋_GB2312" w:eastAsia="仿宋_GB2312" w:cs="仿宋_GB2312"/>
          <w:color w:val="auto"/>
          <w:sz w:val="32"/>
          <w:szCs w:val="32"/>
        </w:rPr>
        <w:t>是消防管理第一责任人，</w:t>
      </w:r>
      <w:r>
        <w:rPr>
          <w:rFonts w:hint="eastAsia" w:ascii="仿宋_GB2312" w:hAnsi="仿宋_GB2312" w:eastAsia="仿宋_GB2312" w:cs="仿宋_GB2312"/>
          <w:color w:val="auto"/>
          <w:sz w:val="32"/>
          <w:szCs w:val="32"/>
          <w:lang w:val="zh-CN"/>
        </w:rPr>
        <w:t>对本机构消防安全工作负责。要定期检测维修消防设施、更换消防器材，积极开展消防培训、防火巡查检查、灭火和应急疏散演练及消防部门要求的其它工作，</w:t>
      </w:r>
      <w:r>
        <w:rPr>
          <w:rFonts w:eastAsia="仿宋_GB2312"/>
          <w:color w:val="auto"/>
          <w:sz w:val="32"/>
          <w:szCs w:val="32"/>
        </w:rPr>
        <w:t>对本地区已定点机构消防安全风险隐患进行全面摸底排查，建立问题隐患和整改责任清单，明确整改路线图、时间表、责任人，抓好整改。</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（三）杜绝食品安全事件。</w:t>
      </w:r>
      <w:r>
        <w:rPr>
          <w:rFonts w:hint="eastAsia" w:ascii="仿宋_GB2312" w:hAnsi="仿宋_GB2312" w:eastAsia="仿宋_GB2312" w:cs="仿宋_GB2312"/>
          <w:color w:val="auto"/>
          <w:sz w:val="32"/>
          <w:szCs w:val="32"/>
          <w:lang w:val="zh-CN"/>
        </w:rPr>
        <w:t>定点机构设有食堂提供餐饮服务的，残联要加强食品安全督导</w:t>
      </w:r>
      <w:r>
        <w:rPr>
          <w:rFonts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定点机构应当按照《食品安全法》《食品安全法实施条例》《托儿所幼儿园卫生保健管理办法》等有关</w:t>
      </w:r>
      <w:r>
        <w:rPr>
          <w:rFonts w:hint="default" w:ascii="仿宋_GB2312" w:hAnsi="仿宋_GB2312" w:eastAsia="仿宋_GB2312" w:cs="仿宋_GB2312"/>
          <w:strike w:val="0"/>
          <w:dstrike w:val="0"/>
          <w:color w:val="auto"/>
          <w:sz w:val="32"/>
          <w:szCs w:val="32"/>
        </w:rPr>
        <w:t>规定</w:t>
      </w:r>
      <w:r>
        <w:rPr>
          <w:rFonts w:hint="eastAsia" w:ascii="仿宋_GB2312" w:hAnsi="仿宋_GB2312" w:eastAsia="仿宋_GB2312" w:cs="仿宋_GB2312"/>
          <w:color w:val="auto"/>
          <w:sz w:val="32"/>
          <w:szCs w:val="32"/>
          <w:lang w:val="zh-CN"/>
        </w:rPr>
        <w:t>要求，抓牢抓实食品安全责任，配备食堂从业</w:t>
      </w:r>
      <w:r>
        <w:rPr>
          <w:rFonts w:ascii="仿宋_GB2312" w:hAnsi="仿宋_GB2312" w:eastAsia="仿宋_GB2312" w:cs="仿宋_GB2312"/>
          <w:color w:val="auto"/>
          <w:sz w:val="32"/>
          <w:szCs w:val="32"/>
          <w:lang w:val="zh-CN"/>
        </w:rPr>
        <w:t>人员</w:t>
      </w:r>
      <w:r>
        <w:rPr>
          <w:rFonts w:hint="eastAsia" w:ascii="仿宋_GB2312" w:hAnsi="仿宋_GB2312" w:eastAsia="仿宋_GB2312" w:cs="仿宋_GB2312"/>
          <w:color w:val="auto"/>
          <w:sz w:val="32"/>
          <w:szCs w:val="32"/>
          <w:lang w:val="zh-CN"/>
        </w:rPr>
        <w:t>、管理人员和食品安全监管人员，制</w:t>
      </w:r>
      <w:r>
        <w:rPr>
          <w:rFonts w:hint="default" w:ascii="仿宋_GB2312" w:hAnsi="仿宋_GB2312" w:eastAsia="仿宋_GB2312" w:cs="仿宋_GB2312"/>
          <w:color w:val="auto"/>
          <w:sz w:val="32"/>
          <w:szCs w:val="32"/>
        </w:rPr>
        <w:t>定</w:t>
      </w:r>
      <w:r>
        <w:rPr>
          <w:rFonts w:hint="eastAsia" w:ascii="仿宋_GB2312" w:hAnsi="仿宋_GB2312" w:eastAsia="仿宋_GB2312" w:cs="仿宋_GB2312"/>
          <w:color w:val="auto"/>
          <w:sz w:val="32"/>
          <w:szCs w:val="32"/>
          <w:lang w:val="zh-CN"/>
        </w:rPr>
        <w:t>各岗位工作职责，上岗前应当参加食品安全法律法规和儿童营养等专业知识培训。做好儿童的膳食管理工作，为儿童提供符合营养要求的平衡膳食。</w:t>
      </w:r>
    </w:p>
    <w:p>
      <w:pPr>
        <w:spacing w:line="600" w:lineRule="exact"/>
        <w:ind w:firstLine="640" w:firstLineChars="200"/>
        <w:rPr>
          <w:rFonts w:ascii="仿宋_GB2312" w:hAnsi="仿宋_GB2312" w:eastAsia="仿宋_GB2312" w:cs="仿宋_GB2312"/>
          <w:color w:val="auto"/>
          <w:sz w:val="32"/>
          <w:szCs w:val="32"/>
          <w:lang w:val="zh-CN"/>
        </w:rPr>
      </w:pPr>
      <w:bookmarkStart w:id="0" w:name="_Hlk78012008"/>
      <w:r>
        <w:rPr>
          <w:rFonts w:hint="eastAsia" w:ascii="楷体" w:hAnsi="楷体" w:eastAsia="楷体" w:cs="楷体"/>
          <w:color w:val="auto"/>
          <w:sz w:val="32"/>
          <w:szCs w:val="32"/>
          <w:lang w:val="zh-CN"/>
        </w:rPr>
        <w:t>（</w:t>
      </w:r>
      <w:r>
        <w:rPr>
          <w:rFonts w:ascii="楷体" w:hAnsi="楷体" w:eastAsia="楷体" w:cs="楷体"/>
          <w:color w:val="auto"/>
          <w:sz w:val="32"/>
          <w:szCs w:val="32"/>
          <w:lang w:val="zh-CN"/>
        </w:rPr>
        <w:t>四</w:t>
      </w:r>
      <w:r>
        <w:rPr>
          <w:rFonts w:hint="eastAsia" w:ascii="楷体" w:hAnsi="楷体" w:eastAsia="楷体" w:cs="楷体"/>
          <w:color w:val="auto"/>
          <w:sz w:val="32"/>
          <w:szCs w:val="32"/>
          <w:lang w:val="zh-CN"/>
        </w:rPr>
        <w:t>）加强卫生保健工作。</w:t>
      </w:r>
      <w:r>
        <w:rPr>
          <w:rFonts w:hint="eastAsia" w:ascii="仿宋_GB2312" w:hAnsi="仿宋_GB2312" w:eastAsia="仿宋_GB2312" w:cs="仿宋_GB2312"/>
          <w:color w:val="auto"/>
          <w:sz w:val="32"/>
          <w:szCs w:val="32"/>
          <w:lang w:val="zh-CN"/>
        </w:rPr>
        <w:t>残联要加强对</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机构卫生保健工作的督导。</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机构要按照</w:t>
      </w:r>
      <w:bookmarkStart w:id="1" w:name="_Hlk78817326"/>
      <w:r>
        <w:rPr>
          <w:rFonts w:hint="eastAsia" w:ascii="仿宋_GB2312" w:hAnsi="仿宋_GB2312" w:eastAsia="仿宋_GB2312" w:cs="仿宋_GB2312"/>
          <w:color w:val="auto"/>
          <w:sz w:val="32"/>
          <w:szCs w:val="32"/>
          <w:lang w:val="zh-CN"/>
        </w:rPr>
        <w:t>《托儿所幼儿园卫生保健管理办法》</w:t>
      </w:r>
      <w:bookmarkEnd w:id="1"/>
      <w:r>
        <w:rPr>
          <w:rFonts w:hint="eastAsia" w:ascii="仿宋_GB2312" w:hAnsi="仿宋_GB2312" w:eastAsia="仿宋_GB2312" w:cs="仿宋_GB2312"/>
          <w:color w:val="auto"/>
          <w:sz w:val="32"/>
          <w:szCs w:val="32"/>
          <w:lang w:val="zh-CN"/>
        </w:rPr>
        <w:t>要求，设立保健室或卫生室，根据接收儿童数量配备符合相关资质的卫生保健人员。建立健全机构卫生保健工作制度，定期检查各项卫生保健制度落实情况。严格执行工作人员和儿童</w:t>
      </w:r>
      <w:r>
        <w:rPr>
          <w:rFonts w:ascii="仿宋_GB2312" w:hAnsi="仿宋_GB2312" w:eastAsia="仿宋_GB2312" w:cs="仿宋_GB2312"/>
          <w:color w:val="auto"/>
          <w:sz w:val="32"/>
          <w:szCs w:val="32"/>
        </w:rPr>
        <w:t>入职</w:t>
      </w:r>
      <w:r>
        <w:rPr>
          <w:rFonts w:hint="eastAsia" w:ascii="仿宋_GB2312" w:hAnsi="仿宋_GB2312" w:eastAsia="仿宋_GB2312" w:cs="仿宋_GB2312"/>
          <w:color w:val="auto"/>
          <w:sz w:val="32"/>
          <w:szCs w:val="32"/>
          <w:lang w:val="zh-CN"/>
        </w:rPr>
        <w:t>入训及定期健康检查制度。加强机构的传染病预防控制工作，做好收训儿童预防接种证的查验，建立儿童传染病预防控制制度，做好晨午检及全日健康观察工作，儿童缺勤要追查，因病缺勤要登记。明确传染病疫情报告人，发现传染病病人或疑似传染病人要早报告、早治疗，相关班级要重点消毒管理。做好机构内环境卫生、各项日常卫生和消毒工作。</w:t>
      </w:r>
    </w:p>
    <w:bookmarkEnd w:id="0"/>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w:t>
      </w:r>
      <w:r>
        <w:rPr>
          <w:rFonts w:ascii="楷体" w:hAnsi="楷体" w:eastAsia="楷体" w:cs="楷体"/>
          <w:color w:val="auto"/>
          <w:sz w:val="32"/>
          <w:szCs w:val="32"/>
          <w:lang w:val="zh-CN"/>
        </w:rPr>
        <w:t>五</w:t>
      </w:r>
      <w:r>
        <w:rPr>
          <w:rFonts w:hint="eastAsia" w:ascii="楷体" w:hAnsi="楷体" w:eastAsia="楷体" w:cs="楷体"/>
          <w:color w:val="auto"/>
          <w:sz w:val="32"/>
          <w:szCs w:val="32"/>
          <w:lang w:val="zh-CN"/>
        </w:rPr>
        <w:t>）</w:t>
      </w:r>
      <w:r>
        <w:rPr>
          <w:rFonts w:ascii="楷体" w:hAnsi="楷体" w:eastAsia="楷体" w:cs="楷体"/>
          <w:color w:val="auto"/>
          <w:sz w:val="32"/>
          <w:szCs w:val="32"/>
          <w:lang w:val="zh-CN"/>
        </w:rPr>
        <w:t>防范化解</w:t>
      </w:r>
      <w:r>
        <w:rPr>
          <w:rFonts w:hint="eastAsia" w:ascii="楷体" w:hAnsi="楷体" w:eastAsia="楷体" w:cs="楷体"/>
          <w:color w:val="auto"/>
          <w:sz w:val="32"/>
          <w:szCs w:val="32"/>
          <w:lang w:val="zh-CN"/>
        </w:rPr>
        <w:t>风险。</w:t>
      </w:r>
      <w:r>
        <w:rPr>
          <w:rFonts w:hint="eastAsia" w:ascii="仿宋_GB2312" w:hAnsi="仿宋_GB2312" w:eastAsia="仿宋_GB2312" w:cs="仿宋_GB2312"/>
          <w:color w:val="auto"/>
          <w:sz w:val="32"/>
          <w:szCs w:val="32"/>
          <w:lang w:val="zh-CN"/>
        </w:rPr>
        <w:t>要认真做好机构意外责任险和残疾儿童意外伤害险工作，开展防灾防损风险排查，根据排查结果认真整改，防微杜渐。加强对残疾儿童家长或监护人意外伤害安全宣传教育，引导家庭履行家庭教育和安全监护责任。根据训练环境、器材使用、季节变化和身心特点开展防坠落、防火、防溺水等专项宣教工作，提高残疾儿童家庭的防范意识和避险能力。</w:t>
      </w:r>
    </w:p>
    <w:p>
      <w:pPr>
        <w:spacing w:line="600" w:lineRule="exact"/>
        <w:ind w:firstLine="640" w:firstLineChars="200"/>
        <w:rPr>
          <w:rFonts w:ascii="黑体" w:hAnsi="黑体" w:eastAsia="黑体" w:cs="黑体"/>
          <w:color w:val="auto"/>
          <w:sz w:val="32"/>
          <w:szCs w:val="32"/>
        </w:rPr>
      </w:pPr>
      <w:r>
        <w:rPr>
          <w:rFonts w:ascii="黑体" w:hAnsi="黑体" w:eastAsia="黑体" w:cs="黑体"/>
          <w:color w:val="auto"/>
          <w:sz w:val="32"/>
          <w:szCs w:val="32"/>
          <w:lang w:val="zh-CN"/>
        </w:rPr>
        <w:t>四</w:t>
      </w:r>
      <w:r>
        <w:rPr>
          <w:rFonts w:hint="eastAsia" w:ascii="黑体" w:hAnsi="黑体" w:eastAsia="黑体" w:cs="黑体"/>
          <w:color w:val="auto"/>
          <w:sz w:val="32"/>
          <w:szCs w:val="32"/>
          <w:lang w:val="zh-CN"/>
        </w:rPr>
        <w:t>、</w:t>
      </w:r>
      <w:r>
        <w:rPr>
          <w:rFonts w:hint="eastAsia" w:ascii="黑体" w:hAnsi="黑体" w:eastAsia="黑体" w:cs="黑体"/>
          <w:color w:val="auto"/>
          <w:sz w:val="32"/>
          <w:szCs w:val="32"/>
        </w:rPr>
        <w:t>强化</w:t>
      </w:r>
      <w:r>
        <w:rPr>
          <w:rFonts w:hint="eastAsia" w:ascii="黑体" w:hAnsi="黑体" w:eastAsia="黑体" w:cs="黑体"/>
          <w:color w:val="auto"/>
          <w:sz w:val="32"/>
          <w:szCs w:val="32"/>
          <w:lang w:val="zh-CN"/>
        </w:rPr>
        <w:t>绩效</w:t>
      </w:r>
      <w:r>
        <w:rPr>
          <w:rFonts w:hint="eastAsia" w:ascii="黑体" w:hAnsi="黑体" w:eastAsia="黑体" w:cs="黑体"/>
          <w:color w:val="auto"/>
          <w:sz w:val="32"/>
          <w:szCs w:val="32"/>
        </w:rPr>
        <w:t>导向</w:t>
      </w:r>
    </w:p>
    <w:p>
      <w:pPr>
        <w:spacing w:line="600" w:lineRule="exact"/>
        <w:ind w:firstLine="640" w:firstLineChars="200"/>
        <w:rPr>
          <w:rFonts w:ascii="仿宋" w:hAnsi="仿宋" w:eastAsia="仿宋" w:cs="黑体"/>
          <w:color w:val="auto"/>
          <w:sz w:val="32"/>
          <w:szCs w:val="32"/>
          <w:lang w:val="zh-CN"/>
        </w:rPr>
      </w:pP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要</w:t>
      </w:r>
      <w:r>
        <w:rPr>
          <w:rFonts w:hint="eastAsia" w:ascii="仿宋_GB2312" w:hAnsi="仿宋_GB2312" w:eastAsia="仿宋_GB2312" w:cs="仿宋_GB2312"/>
          <w:color w:val="auto"/>
          <w:sz w:val="32"/>
          <w:szCs w:val="32"/>
        </w:rPr>
        <w:t>以绩效为导向，</w:t>
      </w:r>
      <w:r>
        <w:rPr>
          <w:rFonts w:hint="eastAsia" w:ascii="仿宋_GB2312" w:hAnsi="仿宋_GB2312" w:eastAsia="仿宋_GB2312" w:cs="仿宋_GB2312"/>
          <w:color w:val="auto"/>
          <w:sz w:val="32"/>
          <w:szCs w:val="32"/>
          <w:lang w:val="zh-CN"/>
        </w:rPr>
        <w:t>从资金支付进度、资金规范管理使用、经济效益社会效益、社会反响和群众满意度等维度夯实工作，提升绩效水平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适应绩效评价常态化的形势。</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（一）确保资金及时足额到位。</w:t>
      </w:r>
      <w:r>
        <w:rPr>
          <w:rFonts w:hint="eastAsia" w:ascii="仿宋_GB2312" w:hAnsi="仿宋_GB2312" w:eastAsia="仿宋_GB2312" w:cs="仿宋_GB2312"/>
          <w:color w:val="auto"/>
          <w:sz w:val="32"/>
          <w:szCs w:val="32"/>
          <w:lang w:val="zh-CN"/>
        </w:rPr>
        <w:t>县级残联要按照全额预算的原则会同财政部门落实残疾儿童康复专项资金，落实县级人民政府资金保障主体责任。中央和省财政转移的专项资金是民生资金，不得截留挪用，必须及时足额拨付。不及时</w:t>
      </w:r>
      <w:r>
        <w:rPr>
          <w:rFonts w:ascii="仿宋_GB2312" w:hAnsi="仿宋_GB2312" w:eastAsia="仿宋_GB2312" w:cs="仿宋_GB2312"/>
          <w:color w:val="auto"/>
          <w:sz w:val="32"/>
          <w:szCs w:val="32"/>
        </w:rPr>
        <w:t>保障和拨付</w:t>
      </w:r>
      <w:r>
        <w:rPr>
          <w:rFonts w:hint="eastAsia" w:ascii="仿宋_GB2312" w:hAnsi="仿宋_GB2312" w:eastAsia="仿宋_GB2312" w:cs="仿宋_GB2312"/>
          <w:color w:val="auto"/>
          <w:sz w:val="32"/>
          <w:szCs w:val="32"/>
          <w:lang w:val="zh-CN"/>
        </w:rPr>
        <w:t>康复资金</w:t>
      </w:r>
      <w:r>
        <w:rPr>
          <w:rFonts w:ascii="仿宋_GB2312" w:hAnsi="仿宋_GB2312" w:eastAsia="仿宋_GB2312" w:cs="仿宋_GB2312"/>
          <w:color w:val="auto"/>
          <w:sz w:val="32"/>
          <w:szCs w:val="32"/>
          <w:lang w:val="zh-CN"/>
        </w:rPr>
        <w:t>的</w:t>
      </w:r>
      <w:r>
        <w:rPr>
          <w:rFonts w:hint="eastAsia" w:ascii="仿宋_GB2312" w:hAnsi="仿宋_GB2312" w:eastAsia="仿宋_GB2312" w:cs="仿宋_GB2312"/>
          <w:color w:val="auto"/>
          <w:sz w:val="32"/>
          <w:szCs w:val="32"/>
          <w:lang w:val="zh-CN"/>
        </w:rPr>
        <w:t>地方，残联要加强沟通汇报，通过</w:t>
      </w:r>
      <w:r>
        <w:rPr>
          <w:rFonts w:hint="default" w:ascii="仿宋_GB2312" w:hAnsi="仿宋_GB2312" w:eastAsia="仿宋_GB2312" w:cs="仿宋_GB2312"/>
          <w:color w:val="auto"/>
          <w:sz w:val="32"/>
          <w:szCs w:val="32"/>
        </w:rPr>
        <w:t>本地</w:t>
      </w:r>
      <w:r>
        <w:rPr>
          <w:rFonts w:hint="eastAsia" w:ascii="仿宋_GB2312" w:hAnsi="仿宋_GB2312" w:eastAsia="仿宋_GB2312" w:cs="仿宋_GB2312"/>
          <w:color w:val="auto"/>
          <w:sz w:val="32"/>
          <w:szCs w:val="32"/>
          <w:lang w:val="zh-CN"/>
        </w:rPr>
        <w:t>政府和上级残联协调解决。县级残联</w:t>
      </w:r>
      <w:r>
        <w:rPr>
          <w:rFonts w:ascii="仿宋_GB2312" w:hAnsi="仿宋_GB2312" w:eastAsia="仿宋_GB2312" w:cs="仿宋_GB2312"/>
          <w:color w:val="auto"/>
          <w:sz w:val="32"/>
          <w:szCs w:val="32"/>
        </w:rPr>
        <w:t>要协同财政部门</w:t>
      </w:r>
      <w:r>
        <w:rPr>
          <w:rFonts w:hint="eastAsia" w:ascii="仿宋_GB2312" w:hAnsi="仿宋_GB2312" w:eastAsia="仿宋_GB2312" w:cs="仿宋_GB2312"/>
          <w:color w:val="auto"/>
          <w:sz w:val="32"/>
          <w:szCs w:val="32"/>
          <w:lang w:val="zh-CN"/>
        </w:rPr>
        <w:t>加快康复专项资金执行进度，采取“预拨+结算”</w:t>
      </w:r>
      <w:r>
        <w:rPr>
          <w:rFonts w:ascii="仿宋_GB2312" w:hAnsi="仿宋_GB2312" w:eastAsia="仿宋_GB2312" w:cs="仿宋_GB2312"/>
          <w:color w:val="auto"/>
          <w:sz w:val="32"/>
          <w:szCs w:val="32"/>
        </w:rPr>
        <w:t>或者“月</w:t>
      </w:r>
      <w:r>
        <w:rPr>
          <w:rFonts w:hint="eastAsia" w:ascii="仿宋_GB2312" w:hAnsi="仿宋_GB2312" w:eastAsia="仿宋_GB2312" w:cs="仿宋_GB2312"/>
          <w:color w:val="auto"/>
          <w:sz w:val="32"/>
          <w:szCs w:val="32"/>
        </w:rPr>
        <w:t>结</w:t>
      </w:r>
      <w:r>
        <w:rPr>
          <w:rFonts w:ascii="仿宋_GB2312" w:hAnsi="仿宋_GB2312" w:eastAsia="仿宋_GB2312" w:cs="仿宋_GB2312"/>
          <w:color w:val="auto"/>
          <w:sz w:val="32"/>
          <w:szCs w:val="32"/>
        </w:rPr>
        <w:t>”“季结”“半年结”等</w:t>
      </w:r>
      <w:r>
        <w:rPr>
          <w:rFonts w:hint="eastAsia" w:ascii="仿宋_GB2312" w:hAnsi="仿宋_GB2312" w:eastAsia="仿宋_GB2312" w:cs="仿宋_GB2312"/>
          <w:color w:val="auto"/>
          <w:sz w:val="32"/>
          <w:szCs w:val="32"/>
          <w:lang w:val="zh-CN"/>
        </w:rPr>
        <w:t>方式及时向</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val="zh-CN"/>
        </w:rPr>
        <w:t>机构拨付资金。</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w:t>
      </w:r>
      <w:r>
        <w:rPr>
          <w:rFonts w:ascii="楷体" w:hAnsi="楷体" w:eastAsia="楷体" w:cs="楷体"/>
          <w:color w:val="auto"/>
          <w:sz w:val="32"/>
          <w:szCs w:val="32"/>
        </w:rPr>
        <w:t>二</w:t>
      </w:r>
      <w:r>
        <w:rPr>
          <w:rFonts w:hint="eastAsia" w:ascii="楷体" w:hAnsi="楷体" w:eastAsia="楷体" w:cs="楷体"/>
          <w:color w:val="auto"/>
          <w:sz w:val="32"/>
          <w:szCs w:val="32"/>
          <w:lang w:val="zh-CN"/>
        </w:rPr>
        <w:t>）</w:t>
      </w:r>
      <w:r>
        <w:rPr>
          <w:rFonts w:ascii="楷体" w:hAnsi="楷体" w:eastAsia="楷体" w:cs="楷体"/>
          <w:color w:val="auto"/>
          <w:sz w:val="32"/>
          <w:szCs w:val="32"/>
        </w:rPr>
        <w:t>严格</w:t>
      </w:r>
      <w:r>
        <w:rPr>
          <w:rFonts w:hint="eastAsia" w:ascii="楷体" w:hAnsi="楷体" w:eastAsia="楷体" w:cs="楷体"/>
          <w:color w:val="auto"/>
          <w:sz w:val="32"/>
          <w:szCs w:val="32"/>
          <w:lang w:val="zh-CN"/>
        </w:rPr>
        <w:t>评估验收</w:t>
      </w:r>
      <w:r>
        <w:rPr>
          <w:rFonts w:ascii="楷体" w:hAnsi="楷体" w:eastAsia="楷体" w:cs="楷体"/>
          <w:color w:val="auto"/>
          <w:sz w:val="32"/>
          <w:szCs w:val="32"/>
          <w:lang w:val="zh-CN"/>
        </w:rPr>
        <w:t>程序</w:t>
      </w:r>
      <w:r>
        <w:rPr>
          <w:rFonts w:hint="eastAsia" w:ascii="楷体" w:hAnsi="楷体" w:eastAsia="楷体" w:cs="楷体"/>
          <w:color w:val="auto"/>
          <w:sz w:val="32"/>
          <w:szCs w:val="32"/>
          <w:lang w:val="zh-CN"/>
        </w:rPr>
        <w:t>。</w:t>
      </w:r>
      <w:r>
        <w:rPr>
          <w:rFonts w:hint="eastAsia" w:ascii="仿宋_GB2312" w:hAnsi="仿宋_GB2312" w:eastAsia="仿宋_GB2312" w:cs="仿宋_GB2312"/>
          <w:color w:val="auto"/>
          <w:sz w:val="32"/>
          <w:szCs w:val="32"/>
          <w:lang w:val="zh-CN"/>
        </w:rPr>
        <w:t>市州残联要加强指导督查，县市区残联要依据《服务</w:t>
      </w:r>
      <w:r>
        <w:rPr>
          <w:rFonts w:ascii="仿宋_GB2312" w:hAnsi="仿宋_GB2312" w:eastAsia="仿宋_GB2312" w:cs="仿宋_GB2312"/>
          <w:color w:val="auto"/>
          <w:sz w:val="32"/>
          <w:szCs w:val="32"/>
        </w:rPr>
        <w:t>内容</w:t>
      </w:r>
      <w:r>
        <w:rPr>
          <w:rFonts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rPr>
        <w:t>修订结算办法并严格落实。</w:t>
      </w:r>
      <w:r>
        <w:rPr>
          <w:rFonts w:hint="eastAsia" w:ascii="仿宋_GB2312" w:hAnsi="仿宋_GB2312" w:eastAsia="仿宋_GB2312" w:cs="仿宋_GB2312"/>
          <w:color w:val="auto"/>
          <w:sz w:val="32"/>
          <w:szCs w:val="32"/>
          <w:lang w:val="zh-CN"/>
        </w:rPr>
        <w:t>未出台资金结算办法的</w:t>
      </w:r>
      <w:r>
        <w:rPr>
          <w:rFonts w:hint="eastAsia" w:ascii="仿宋_GB2312" w:hAnsi="仿宋_GB2312" w:eastAsia="仿宋_GB2312" w:cs="仿宋_GB2312"/>
          <w:color w:val="auto"/>
          <w:sz w:val="32"/>
          <w:szCs w:val="32"/>
        </w:rPr>
        <w:t>地区</w:t>
      </w:r>
      <w:r>
        <w:rPr>
          <w:rFonts w:hint="eastAsia" w:ascii="仿宋_GB2312" w:hAnsi="仿宋_GB2312" w:eastAsia="仿宋_GB2312" w:cs="仿宋_GB2312"/>
          <w:color w:val="auto"/>
          <w:sz w:val="32"/>
          <w:szCs w:val="32"/>
          <w:lang w:val="zh-CN"/>
        </w:rPr>
        <w:t>，要在今年内出台</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坚持做到验收合格后再结算资金，并保留好验收资料，任何地区不得未经验收或验收不规范而</w:t>
      </w:r>
      <w:r>
        <w:rPr>
          <w:rFonts w:ascii="仿宋_GB2312" w:hAnsi="仿宋_GB2312" w:eastAsia="仿宋_GB2312" w:cs="仿宋_GB2312"/>
          <w:color w:val="auto"/>
          <w:sz w:val="32"/>
          <w:szCs w:val="32"/>
          <w:lang w:val="zh-CN"/>
        </w:rPr>
        <w:t>结算</w:t>
      </w:r>
      <w:r>
        <w:rPr>
          <w:rFonts w:hint="eastAsia" w:ascii="仿宋_GB2312" w:hAnsi="仿宋_GB2312" w:eastAsia="仿宋_GB2312" w:cs="仿宋_GB2312"/>
          <w:color w:val="auto"/>
          <w:sz w:val="32"/>
          <w:szCs w:val="32"/>
          <w:lang w:val="zh-CN"/>
        </w:rPr>
        <w:t>资金。</w:t>
      </w:r>
    </w:p>
    <w:p>
      <w:pPr>
        <w:spacing w:line="600" w:lineRule="exact"/>
        <w:ind w:firstLine="640" w:firstLineChars="200"/>
        <w:rPr>
          <w:rFonts w:ascii="仿宋_GB2312" w:hAnsi="仿宋_GB2312" w:eastAsia="仿宋_GB2312" w:cs="仿宋_GB2312"/>
          <w:color w:val="auto"/>
          <w:sz w:val="32"/>
          <w:szCs w:val="32"/>
          <w:lang w:val="zh-CN"/>
        </w:rPr>
      </w:pPr>
      <w:r>
        <w:rPr>
          <w:rFonts w:hint="eastAsia" w:ascii="楷体" w:hAnsi="楷体" w:eastAsia="楷体" w:cs="楷体"/>
          <w:color w:val="auto"/>
          <w:sz w:val="32"/>
          <w:szCs w:val="32"/>
          <w:lang w:val="zh-CN"/>
        </w:rPr>
        <w:t>（</w:t>
      </w:r>
      <w:r>
        <w:rPr>
          <w:rFonts w:ascii="楷体" w:hAnsi="楷体" w:eastAsia="楷体" w:cs="楷体"/>
          <w:color w:val="auto"/>
          <w:sz w:val="32"/>
          <w:szCs w:val="32"/>
        </w:rPr>
        <w:t>三</w:t>
      </w:r>
      <w:r>
        <w:rPr>
          <w:rFonts w:hint="eastAsia" w:ascii="楷体" w:hAnsi="楷体" w:eastAsia="楷体" w:cs="楷体"/>
          <w:color w:val="auto"/>
          <w:sz w:val="32"/>
          <w:szCs w:val="32"/>
          <w:lang w:val="zh-CN"/>
        </w:rPr>
        <w:t>）规范考勤及档案管理。</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要督促</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机构加强考勤管理，充分运用</w:t>
      </w:r>
      <w:r>
        <w:rPr>
          <w:rFonts w:hint="eastAsia" w:ascii="仿宋_GB2312" w:hAnsi="仿宋_GB2312" w:eastAsia="仿宋_GB2312" w:cs="仿宋_GB2312"/>
          <w:color w:val="auto"/>
          <w:sz w:val="32"/>
          <w:szCs w:val="32"/>
        </w:rPr>
        <w:t>指纹打卡、</w:t>
      </w:r>
      <w:r>
        <w:rPr>
          <w:rFonts w:hint="eastAsia" w:ascii="仿宋_GB2312" w:hAnsi="仿宋_GB2312" w:eastAsia="仿宋_GB2312" w:cs="仿宋_GB2312"/>
          <w:color w:val="auto"/>
          <w:sz w:val="32"/>
          <w:szCs w:val="32"/>
          <w:lang w:val="zh-CN"/>
        </w:rPr>
        <w:t>人脸识别等智能技术开展考勤工作，202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zh-CN"/>
        </w:rPr>
        <w:t>月底</w:t>
      </w:r>
      <w:r>
        <w:rPr>
          <w:rFonts w:hint="default"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zh-CN"/>
        </w:rPr>
        <w:t>所有机构</w:t>
      </w:r>
      <w:r>
        <w:rPr>
          <w:rFonts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rPr>
        <w:t>智能技术</w:t>
      </w:r>
      <w:r>
        <w:rPr>
          <w:rFonts w:hint="eastAsia" w:ascii="仿宋_GB2312" w:hAnsi="仿宋_GB2312" w:eastAsia="仿宋_GB2312" w:cs="仿宋_GB2312"/>
          <w:color w:val="auto"/>
          <w:sz w:val="32"/>
          <w:szCs w:val="32"/>
          <w:lang w:val="zh-CN"/>
        </w:rPr>
        <w:t>考勤系统，</w:t>
      </w:r>
      <w:r>
        <w:rPr>
          <w:rFonts w:ascii="仿宋_GB2312" w:hAnsi="仿宋_GB2312" w:eastAsia="仿宋_GB2312" w:cs="仿宋_GB2312"/>
          <w:color w:val="auto"/>
          <w:sz w:val="32"/>
          <w:szCs w:val="32"/>
        </w:rPr>
        <w:t>制定与之相适应的考勤制度，</w:t>
      </w:r>
      <w:r>
        <w:rPr>
          <w:rFonts w:hint="eastAsia" w:ascii="仿宋_GB2312" w:hAnsi="仿宋_GB2312" w:eastAsia="仿宋_GB2312" w:cs="仿宋_GB2312"/>
          <w:color w:val="auto"/>
          <w:sz w:val="32"/>
          <w:szCs w:val="32"/>
        </w:rPr>
        <w:t>市、县残联要</w:t>
      </w:r>
      <w:r>
        <w:rPr>
          <w:rFonts w:ascii="仿宋_GB2312" w:hAnsi="仿宋_GB2312" w:eastAsia="仿宋_GB2312" w:cs="仿宋_GB2312"/>
          <w:color w:val="auto"/>
          <w:sz w:val="32"/>
          <w:szCs w:val="32"/>
        </w:rPr>
        <w:t>加强指导、督促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残联和机构应保护残疾儿童及监护人隐私权和个人信息，依据《未成年人保护法》《数据安全法》等法律法规开展个人信息收集、存储、使用、传输、提供、公开等活动，严格控制数据使用、流转范围，采取技术和管理措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防范个人信息泄露风险。</w:t>
      </w:r>
      <w:r>
        <w:rPr>
          <w:rFonts w:hint="eastAsia" w:ascii="仿宋_GB2312" w:hAnsi="仿宋_GB2312" w:eastAsia="仿宋_GB2312" w:cs="仿宋_GB2312"/>
          <w:color w:val="auto"/>
          <w:sz w:val="32"/>
          <w:szCs w:val="32"/>
          <w:lang w:val="zh-CN"/>
        </w:rPr>
        <w:t>康复档案是审计和绩效评价的重点，</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要重视康复档案管理工作，残联要加强督导，各</w:t>
      </w:r>
      <w:r>
        <w:rPr>
          <w:rFonts w:ascii="仿宋_GB2312" w:hAnsi="仿宋_GB2312" w:eastAsia="仿宋_GB2312" w:cs="仿宋_GB2312"/>
          <w:color w:val="auto"/>
          <w:sz w:val="32"/>
          <w:szCs w:val="32"/>
          <w:lang w:val="zh-CN"/>
        </w:rPr>
        <w:t>定点</w:t>
      </w:r>
      <w:r>
        <w:rPr>
          <w:rFonts w:hint="eastAsia" w:ascii="仿宋_GB2312" w:hAnsi="仿宋_GB2312" w:eastAsia="仿宋_GB2312" w:cs="仿宋_GB2312"/>
          <w:color w:val="auto"/>
          <w:sz w:val="32"/>
          <w:szCs w:val="32"/>
          <w:lang w:val="zh-CN"/>
        </w:rPr>
        <w:t>机构要进一步规范档案管理，做到客观真实、内容完整、填写工整、装订整齐。</w:t>
      </w:r>
    </w:p>
    <w:p>
      <w:pPr>
        <w:spacing w:line="600" w:lineRule="exact"/>
        <w:ind w:firstLine="640" w:firstLineChars="200"/>
        <w:rPr>
          <w:rFonts w:ascii="仿宋_GB2312" w:hAnsi="仿宋_GB2312" w:eastAsia="仿宋_GB2312" w:cs="仿宋_GB2312"/>
          <w:sz w:val="32"/>
          <w:szCs w:val="32"/>
          <w:lang w:val="zh-CN"/>
        </w:rPr>
      </w:pPr>
      <w:r>
        <w:rPr>
          <w:rFonts w:hint="eastAsia" w:ascii="楷体" w:hAnsi="楷体" w:eastAsia="楷体" w:cs="楷体"/>
          <w:color w:val="auto"/>
          <w:sz w:val="32"/>
          <w:szCs w:val="32"/>
          <w:lang w:val="zh-CN"/>
        </w:rPr>
        <w:t>（</w:t>
      </w:r>
      <w:r>
        <w:rPr>
          <w:rFonts w:ascii="楷体" w:hAnsi="楷体" w:eastAsia="楷体" w:cs="楷体"/>
          <w:color w:val="auto"/>
          <w:sz w:val="32"/>
          <w:szCs w:val="32"/>
        </w:rPr>
        <w:t>四</w:t>
      </w:r>
      <w:r>
        <w:rPr>
          <w:rFonts w:hint="eastAsia" w:ascii="楷体" w:hAnsi="楷体" w:eastAsia="楷体" w:cs="楷体"/>
          <w:color w:val="auto"/>
          <w:sz w:val="32"/>
          <w:szCs w:val="32"/>
          <w:lang w:val="zh-CN"/>
        </w:rPr>
        <w:t>）规范使用残疾儿童康复救助综合管理系统。</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lang w:val="zh-CN"/>
        </w:rPr>
        <w:t>要重视并规范运用《残疾儿童康复救助综合</w:t>
      </w:r>
      <w:r>
        <w:rPr>
          <w:rFonts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zh-CN"/>
        </w:rPr>
        <w:t>管理系统》，系统中救助人数、救助时间、补助金额上限、实际康复救助金额等数据是资金分配、绩效评价、审计监督的重要依据。所有残疾儿童康复救助的申请、审核、救助、结算都需要在《残疾儿童康复救助综合管理系统》中</w:t>
      </w:r>
      <w:r>
        <w:rPr>
          <w:rFonts w:ascii="仿宋_GB2312" w:hAnsi="仿宋_GB2312" w:eastAsia="仿宋_GB2312" w:cs="仿宋_GB2312"/>
          <w:color w:val="auto"/>
          <w:sz w:val="32"/>
          <w:szCs w:val="32"/>
        </w:rPr>
        <w:t>体</w:t>
      </w:r>
      <w:r>
        <w:rPr>
          <w:rFonts w:hint="eastAsia" w:ascii="仿宋_GB2312" w:hAnsi="仿宋_GB2312" w:eastAsia="仿宋_GB2312" w:cs="仿宋_GB2312"/>
          <w:color w:val="auto"/>
          <w:sz w:val="32"/>
          <w:szCs w:val="32"/>
          <w:lang w:val="zh-CN"/>
        </w:rPr>
        <w:t>现，</w:t>
      </w:r>
      <w:r>
        <w:rPr>
          <w:rFonts w:hint="eastAsia" w:ascii="仿宋_GB2312" w:hAnsi="仿宋_GB2312" w:eastAsia="仿宋_GB2312" w:cs="仿宋_GB2312"/>
          <w:color w:val="auto"/>
          <w:sz w:val="32"/>
          <w:szCs w:val="32"/>
        </w:rPr>
        <w:t>线下</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rPr>
        <w:t>的残疾儿童，要在审</w:t>
      </w:r>
      <w:r>
        <w:rPr>
          <w:rFonts w:ascii="仿宋_GB2312" w:hAnsi="仿宋_GB2312" w:eastAsia="仿宋_GB2312" w:cs="仿宋_GB2312"/>
          <w:color w:val="auto"/>
          <w:sz w:val="32"/>
          <w:szCs w:val="32"/>
        </w:rPr>
        <w:t>核通过</w:t>
      </w:r>
      <w:r>
        <w:rPr>
          <w:rFonts w:hint="eastAsia" w:ascii="仿宋_GB2312" w:hAnsi="仿宋_GB2312" w:eastAsia="仿宋_GB2312" w:cs="仿宋_GB2312"/>
          <w:color w:val="auto"/>
          <w:sz w:val="32"/>
          <w:szCs w:val="32"/>
        </w:rPr>
        <w:t>当日内将信息录入系统，</w:t>
      </w:r>
      <w:r>
        <w:rPr>
          <w:rFonts w:hint="eastAsia" w:ascii="仿宋_GB2312" w:hAnsi="仿宋_GB2312" w:eastAsia="仿宋_GB2312" w:cs="仿宋_GB2312"/>
          <w:color w:val="auto"/>
          <w:sz w:val="32"/>
          <w:szCs w:val="32"/>
          <w:lang w:val="zh-CN"/>
        </w:rPr>
        <w:t>形成线上申请、审核、救助、结算的工作闭环。</w:t>
      </w:r>
      <w:r>
        <w:rPr>
          <w:rFonts w:hint="default" w:ascii="仿宋_GB2312" w:hAnsi="仿宋_GB2312" w:eastAsia="仿宋_GB2312" w:cs="仿宋_GB2312"/>
          <w:color w:val="auto"/>
          <w:sz w:val="32"/>
          <w:szCs w:val="32"/>
        </w:rPr>
        <w:t>市州、县市区残联</w:t>
      </w:r>
      <w:r>
        <w:rPr>
          <w:rFonts w:hint="eastAsia" w:ascii="仿宋_GB2312" w:hAnsi="仿宋_GB2312" w:eastAsia="仿宋_GB2312" w:cs="仿宋_GB2312"/>
          <w:color w:val="auto"/>
          <w:sz w:val="32"/>
          <w:szCs w:val="32"/>
        </w:rPr>
        <w:t>要树立一盘棋</w:t>
      </w:r>
      <w:r>
        <w:rPr>
          <w:rFonts w:ascii="仿宋_GB2312" w:hAnsi="仿宋_GB2312" w:eastAsia="仿宋_GB2312" w:cs="仿宋_GB2312"/>
          <w:color w:val="auto"/>
          <w:sz w:val="32"/>
          <w:szCs w:val="32"/>
        </w:rPr>
        <w:t>思想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发挥管理系统监督作用，</w:t>
      </w:r>
      <w:r>
        <w:rPr>
          <w:rFonts w:hint="eastAsia" w:ascii="仿宋_GB2312" w:hAnsi="仿宋_GB2312" w:eastAsia="仿宋_GB2312" w:cs="仿宋_GB2312"/>
          <w:color w:val="auto"/>
          <w:sz w:val="32"/>
          <w:szCs w:val="32"/>
        </w:rPr>
        <w:t>推进管理系统数据共建、共</w:t>
      </w:r>
      <w:r>
        <w:rPr>
          <w:rFonts w:hint="eastAsia" w:ascii="仿宋_GB2312" w:hAnsi="仿宋_GB2312" w:eastAsia="仿宋_GB2312" w:cs="仿宋_GB2312"/>
          <w:sz w:val="32"/>
          <w:szCs w:val="32"/>
        </w:rPr>
        <w:t>享、共用，依托管理系统开展审</w:t>
      </w:r>
      <w:r>
        <w:rPr>
          <w:rFonts w:ascii="仿宋_GB2312" w:hAnsi="仿宋_GB2312" w:eastAsia="仿宋_GB2312" w:cs="仿宋_GB2312"/>
          <w:sz w:val="32"/>
          <w:szCs w:val="32"/>
        </w:rPr>
        <w:t>核</w:t>
      </w:r>
      <w:r>
        <w:rPr>
          <w:rFonts w:hint="eastAsia" w:ascii="仿宋_GB2312" w:hAnsi="仿宋_GB2312" w:eastAsia="仿宋_GB2312" w:cs="仿宋_GB2312"/>
          <w:sz w:val="32"/>
          <w:szCs w:val="32"/>
        </w:rPr>
        <w:t>前救助服务情况核查，</w:t>
      </w:r>
      <w:r>
        <w:rPr>
          <w:rFonts w:hint="eastAsia" w:ascii="仿宋_GB2312" w:hAnsi="仿宋_GB2312" w:eastAsia="仿宋_GB2312" w:cs="仿宋_GB2312"/>
          <w:sz w:val="32"/>
          <w:szCs w:val="32"/>
          <w:lang w:val="zh-CN"/>
        </w:rPr>
        <w:t>避免出现虚假申请、</w:t>
      </w:r>
      <w:r>
        <w:rPr>
          <w:rFonts w:hint="eastAsia" w:ascii="仿宋_GB2312" w:hAnsi="仿宋_GB2312" w:eastAsia="仿宋_GB2312" w:cs="仿宋_GB2312"/>
          <w:sz w:val="32"/>
          <w:szCs w:val="32"/>
        </w:rPr>
        <w:t>重复救助、</w:t>
      </w:r>
      <w:r>
        <w:rPr>
          <w:rFonts w:hint="eastAsia" w:ascii="仿宋_GB2312" w:hAnsi="仿宋_GB2312" w:eastAsia="仿宋_GB2312" w:cs="仿宋_GB2312"/>
          <w:sz w:val="32"/>
          <w:szCs w:val="32"/>
          <w:lang w:val="zh-CN"/>
        </w:rPr>
        <w:t>虚假服务、虚假数据以及套取资金的问题。</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本通知自</w:t>
      </w:r>
      <w:r>
        <w:rPr>
          <w:rFonts w:hint="default" w:ascii="仿宋_GB2312" w:hAnsi="仿宋_GB2312" w:eastAsia="仿宋_GB2312" w:cs="仿宋_GB2312"/>
          <w:sz w:val="32"/>
          <w:szCs w:val="32"/>
        </w:rPr>
        <w:t>2021年11月1</w:t>
      </w:r>
      <w:r>
        <w:rPr>
          <w:rFonts w:ascii="仿宋_GB2312" w:hAnsi="仿宋_GB2312" w:eastAsia="仿宋_GB2312" w:cs="仿宋_GB2312"/>
          <w:sz w:val="32"/>
          <w:szCs w:val="32"/>
        </w:rPr>
        <w:t>日起实施，有效期5年。</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zh-CN"/>
        </w:rPr>
        <w:t>湖南省残疾儿童</w:t>
      </w:r>
      <w:r>
        <w:rPr>
          <w:rFonts w:hint="eastAsia" w:ascii="仿宋_GB2312" w:hAnsi="仿宋_GB2312" w:eastAsia="仿宋_GB2312" w:cs="仿宋_GB2312"/>
          <w:sz w:val="32"/>
          <w:szCs w:val="32"/>
        </w:rPr>
        <w:t>康复救助服务内容</w:t>
      </w:r>
    </w:p>
    <w:p>
      <w:pPr>
        <w:spacing w:line="600" w:lineRule="exact"/>
        <w:ind w:left="1920"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.湖南省听力残疾儿童康复救助人工耳蜗手术定点医院</w:t>
      </w:r>
      <w:r>
        <w:rPr>
          <w:rFonts w:hint="default" w:ascii="仿宋_GB2312" w:hAnsi="仿宋_GB2312" w:eastAsia="仿宋_GB2312" w:cs="仿宋_GB2312"/>
          <w:sz w:val="32"/>
          <w:szCs w:val="32"/>
        </w:rPr>
        <w:t>申报</w:t>
      </w:r>
      <w:r>
        <w:rPr>
          <w:rFonts w:ascii="仿宋_GB2312" w:hAnsi="仿宋_GB2312" w:eastAsia="仿宋_GB2312" w:cs="仿宋_GB2312"/>
          <w:sz w:val="32"/>
          <w:szCs w:val="32"/>
        </w:rPr>
        <w:t>认定</w:t>
      </w:r>
      <w:r>
        <w:rPr>
          <w:rFonts w:hint="eastAsia" w:ascii="仿宋_GB2312" w:hAnsi="仿宋_GB2312" w:eastAsia="仿宋_GB2312" w:cs="仿宋_GB2312"/>
          <w:sz w:val="32"/>
          <w:szCs w:val="32"/>
        </w:rPr>
        <w:t>表</w:t>
      </w:r>
    </w:p>
    <w:p>
      <w:pPr>
        <w:spacing w:line="600" w:lineRule="exact"/>
        <w:ind w:left="1920"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.湖南省残疾儿童肢体矫治手术定点机构（省级）申报</w:t>
      </w:r>
      <w:r>
        <w:rPr>
          <w:rFonts w:ascii="仿宋_GB2312" w:hAnsi="仿宋_GB2312" w:eastAsia="仿宋_GB2312" w:cs="仿宋_GB2312"/>
          <w:sz w:val="32"/>
          <w:szCs w:val="32"/>
        </w:rPr>
        <w:t>认定</w:t>
      </w:r>
      <w:r>
        <w:rPr>
          <w:rFonts w:hint="eastAsia" w:ascii="仿宋_GB2312" w:hAnsi="仿宋_GB2312" w:eastAsia="仿宋_GB2312" w:cs="仿宋_GB2312"/>
          <w:sz w:val="32"/>
          <w:szCs w:val="32"/>
        </w:rPr>
        <w:t>表</w:t>
      </w:r>
    </w:p>
    <w:p>
      <w:pPr>
        <w:spacing w:line="600" w:lineRule="exact"/>
        <w:ind w:left="1920"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.湖南省残疾儿童辅助器具适配服务定点机构申报</w:t>
      </w:r>
      <w:r>
        <w:rPr>
          <w:rFonts w:ascii="仿宋_GB2312" w:hAnsi="仿宋_GB2312" w:eastAsia="仿宋_GB2312" w:cs="仿宋_GB2312"/>
          <w:sz w:val="32"/>
          <w:szCs w:val="32"/>
        </w:rPr>
        <w:t>认定</w:t>
      </w:r>
      <w:r>
        <w:rPr>
          <w:rFonts w:hint="eastAsia" w:ascii="仿宋_GB2312" w:hAnsi="仿宋_GB2312" w:eastAsia="仿宋_GB2312" w:cs="仿宋_GB2312"/>
          <w:sz w:val="32"/>
          <w:szCs w:val="32"/>
        </w:rPr>
        <w:t>表</w:t>
      </w: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firstLine="5760" w:firstLineChars="18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湖南省残疾人联合会</w:t>
      </w:r>
    </w:p>
    <w:p>
      <w:pPr>
        <w:spacing w:line="600" w:lineRule="exact"/>
        <w:ind w:firstLine="5920" w:firstLineChars="18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lang w:val="zh-CN"/>
        </w:rPr>
        <w:t>月</w:t>
      </w:r>
      <w:r>
        <w:rPr>
          <w:rFonts w:hint="default" w:ascii="仿宋_GB2312" w:hAnsi="仿宋_GB2312" w:eastAsia="仿宋_GB2312" w:cs="仿宋_GB2312"/>
          <w:sz w:val="32"/>
          <w:szCs w:val="32"/>
        </w:rPr>
        <w:t>26</w:t>
      </w:r>
      <w:r>
        <w:rPr>
          <w:rFonts w:hint="eastAsia" w:ascii="仿宋_GB2312" w:hAnsi="仿宋_GB2312" w:eastAsia="仿宋_GB2312" w:cs="仿宋_GB2312"/>
          <w:sz w:val="32"/>
          <w:szCs w:val="32"/>
          <w:lang w:val="zh-CN"/>
        </w:rPr>
        <w:t>日</w:t>
      </w:r>
    </w:p>
    <w:p>
      <w:pPr>
        <w:spacing w:line="600" w:lineRule="exact"/>
        <w:rPr>
          <w:rFonts w:ascii="仿宋" w:hAnsi="仿宋" w:eastAsia="仿宋" w:cs="黑体"/>
          <w:sz w:val="32"/>
          <w:szCs w:val="32"/>
          <w:lang w:val="zh-CN"/>
        </w:rPr>
      </w:pPr>
    </w:p>
    <w:p>
      <w:pPr>
        <w:spacing w:line="600" w:lineRule="exact"/>
        <w:rPr>
          <w:rFonts w:ascii="仿宋" w:hAnsi="仿宋" w:eastAsia="仿宋" w:cs="黑体"/>
          <w:sz w:val="32"/>
          <w:szCs w:val="32"/>
          <w:lang w:val="zh-CN"/>
        </w:rPr>
      </w:pPr>
    </w:p>
    <w:p>
      <w:pPr>
        <w:spacing w:line="600" w:lineRule="exact"/>
        <w:rPr>
          <w:rFonts w:ascii="仿宋" w:hAnsi="仿宋" w:eastAsia="仿宋" w:cs="黑体"/>
          <w:sz w:val="32"/>
          <w:szCs w:val="32"/>
          <w:lang w:val="zh-CN"/>
        </w:rPr>
      </w:pPr>
    </w:p>
    <w:p>
      <w:pPr>
        <w:spacing w:line="600" w:lineRule="exact"/>
        <w:rPr>
          <w:rFonts w:ascii="仿宋" w:hAnsi="仿宋" w:eastAsia="仿宋" w:cs="黑体"/>
          <w:sz w:val="32"/>
          <w:szCs w:val="32"/>
          <w:lang w:val="zh-CN"/>
        </w:rPr>
      </w:pPr>
    </w:p>
    <w:p>
      <w:pPr>
        <w:spacing w:line="580" w:lineRule="exac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湖南省残疾儿童康复</w:t>
      </w:r>
      <w:r>
        <w:rPr>
          <w:rFonts w:ascii="方正小标宋简体" w:hAnsi="方正小标宋简体" w:eastAsia="方正小标宋简体" w:cs="方正小标宋简体"/>
          <w:sz w:val="44"/>
          <w:szCs w:val="44"/>
        </w:rPr>
        <w:t>救助</w:t>
      </w:r>
      <w:r>
        <w:rPr>
          <w:rFonts w:hint="eastAsia" w:ascii="方正小标宋简体" w:hAnsi="方正小标宋简体" w:eastAsia="方正小标宋简体" w:cs="方正小标宋简体"/>
          <w:sz w:val="44"/>
          <w:szCs w:val="44"/>
        </w:rPr>
        <w:t>服务</w:t>
      </w:r>
      <w:r>
        <w:rPr>
          <w:rFonts w:ascii="方正小标宋简体" w:hAnsi="方正小标宋简体" w:eastAsia="方正小标宋简体" w:cs="方正小标宋简体"/>
          <w:sz w:val="44"/>
          <w:szCs w:val="44"/>
        </w:rPr>
        <w:t>内容</w:t>
      </w: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63"/>
        <w:gridCol w:w="567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62" w:type="dxa"/>
            <w:vAlign w:val="center"/>
          </w:tcPr>
          <w:p>
            <w:pPr>
              <w:jc w:val="center"/>
              <w:rPr>
                <w:rFonts w:ascii="黑体" w:hAnsi="黑体" w:eastAsia="黑体" w:cs="黑体"/>
                <w:sz w:val="24"/>
                <w:szCs w:val="24"/>
              </w:rPr>
            </w:pPr>
            <w:r>
              <w:rPr>
                <w:rFonts w:hint="eastAsia" w:ascii="黑体" w:hAnsi="黑体" w:eastAsia="黑体" w:cs="黑体"/>
                <w:sz w:val="24"/>
                <w:szCs w:val="24"/>
              </w:rPr>
              <w:t>残疾类别</w:t>
            </w:r>
          </w:p>
        </w:tc>
        <w:tc>
          <w:tcPr>
            <w:tcW w:w="1863" w:type="dxa"/>
            <w:vAlign w:val="center"/>
          </w:tcPr>
          <w:p>
            <w:pPr>
              <w:ind w:firstLine="240" w:firstLineChars="100"/>
              <w:jc w:val="center"/>
              <w:rPr>
                <w:rFonts w:ascii="黑体" w:hAnsi="黑体" w:eastAsia="黑体" w:cs="黑体"/>
                <w:sz w:val="24"/>
                <w:szCs w:val="24"/>
              </w:rPr>
            </w:pPr>
            <w:r>
              <w:rPr>
                <w:rFonts w:hint="eastAsia" w:ascii="黑体" w:hAnsi="黑体" w:eastAsia="黑体" w:cs="黑体"/>
                <w:sz w:val="24"/>
                <w:szCs w:val="24"/>
              </w:rPr>
              <w:t>服务项目</w:t>
            </w:r>
          </w:p>
        </w:tc>
        <w:tc>
          <w:tcPr>
            <w:tcW w:w="5670" w:type="dxa"/>
            <w:vAlign w:val="center"/>
          </w:tcPr>
          <w:p>
            <w:pPr>
              <w:jc w:val="center"/>
              <w:rPr>
                <w:rFonts w:ascii="黑体" w:hAnsi="黑体" w:eastAsia="黑体" w:cs="黑体"/>
                <w:sz w:val="24"/>
                <w:szCs w:val="24"/>
              </w:rPr>
            </w:pPr>
            <w:r>
              <w:rPr>
                <w:rFonts w:hint="eastAsia" w:ascii="黑体" w:hAnsi="黑体" w:eastAsia="黑体" w:cs="黑体"/>
                <w:sz w:val="24"/>
                <w:szCs w:val="24"/>
              </w:rPr>
              <w:t>服务频次</w:t>
            </w:r>
          </w:p>
        </w:tc>
        <w:tc>
          <w:tcPr>
            <w:tcW w:w="1314" w:type="dxa"/>
            <w:vAlign w:val="center"/>
          </w:tcPr>
          <w:p>
            <w:pPr>
              <w:jc w:val="center"/>
              <w:rPr>
                <w:rFonts w:ascii="黑体" w:hAnsi="黑体" w:eastAsia="黑体" w:cs="黑体"/>
                <w:sz w:val="24"/>
                <w:szCs w:val="24"/>
              </w:rPr>
            </w:pPr>
            <w:r>
              <w:rPr>
                <w:rFonts w:hint="eastAsia" w:ascii="黑体" w:hAnsi="黑体" w:eastAsia="黑体" w:cs="黑体"/>
                <w:sz w:val="24"/>
                <w:szCs w:val="24"/>
              </w:rPr>
              <w:t>服务</w:t>
            </w:r>
          </w:p>
          <w:p>
            <w:pPr>
              <w:jc w:val="center"/>
              <w:rPr>
                <w:rFonts w:ascii="黑体" w:hAnsi="黑体" w:eastAsia="黑体" w:cs="黑体"/>
                <w:sz w:val="24"/>
                <w:szCs w:val="24"/>
              </w:rPr>
            </w:pPr>
            <w:r>
              <w:rPr>
                <w:rFonts w:hint="eastAsia" w:ascii="黑体" w:hAnsi="黑体" w:eastAsia="黑体" w:cs="黑体"/>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709" w:type="dxa"/>
            <w:gridSpan w:val="4"/>
            <w:vAlign w:val="center"/>
          </w:tcPr>
          <w:p>
            <w:pPr>
              <w:jc w:val="center"/>
              <w:rPr>
                <w:rFonts w:ascii="黑体" w:hAnsi="黑体" w:eastAsia="黑体" w:cs="黑体"/>
                <w:sz w:val="24"/>
                <w:szCs w:val="24"/>
              </w:rPr>
            </w:pPr>
            <w:r>
              <w:rPr>
                <w:rFonts w:hint="eastAsia" w:ascii="黑体" w:hAnsi="黑体" w:eastAsia="黑体" w:cs="黑体"/>
                <w:sz w:val="24"/>
                <w:szCs w:val="24"/>
              </w:rPr>
              <w:t>康复训练类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62"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听力残 疾</w:t>
            </w: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评估</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按照《听力残疾儿童康复救助定点服务机构服务指南》要求完成首次评估、持续评估、康复效果评估及结案评估。对全日制康复训练模式的儿童在学期初、学期中及学期末还要对其开展全面发展评估，填写学期发展评价。</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862" w:type="dxa"/>
            <w:vMerge w:val="continue"/>
            <w:vAlign w:val="center"/>
          </w:tcPr>
          <w:p>
            <w:pPr>
              <w:rPr>
                <w:rFonts w:ascii="仿宋_GB2312" w:hAnsi="仿宋_GB2312" w:eastAsia="仿宋_GB2312" w:cs="仿宋_GB2312"/>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班级教学</w:t>
            </w:r>
          </w:p>
        </w:tc>
        <w:tc>
          <w:tcPr>
            <w:tcW w:w="5670"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班级教学每月不少于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天，每天不少于4小时；个别化康复每月不少于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天，每天不少于0.5小时。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非全日制康复训练模式：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（1）对3 岁以下儿童可采取团体教学、个别化训练及康复指导等方式开展康复训练，每周不少于2次，周时长不少于2小时，其中个别化训练及康复指导不少于1次，每次不少于1小时。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（2）对已入早教机构、普幼、普小及因各种原因不能在机构开展班级教学的儿童，可采取个别化训练及康复指导的方式开展康复训练。其中每日接受个别化康复的儿童每月不少于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天，每天不少于0</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5小时；每周接受个别化康复的儿童，每周不少于1次，每次不少于 1 小时，同时每周还需对其进行融合教育指导1次。</w:t>
            </w:r>
          </w:p>
        </w:tc>
        <w:tc>
          <w:tcPr>
            <w:tcW w:w="1314"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个别训练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2" w:type="dxa"/>
            <w:vMerge w:val="continue"/>
            <w:vAlign w:val="center"/>
          </w:tcPr>
          <w:p>
            <w:pPr>
              <w:rPr>
                <w:rFonts w:ascii="仿宋_GB2312" w:hAnsi="仿宋_GB2312" w:eastAsia="仿宋_GB2312" w:cs="仿宋_GB2312"/>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个别化康复</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2" w:type="dxa"/>
            <w:vMerge w:val="continue"/>
            <w:vAlign w:val="center"/>
          </w:tcPr>
          <w:p>
            <w:pPr>
              <w:rPr>
                <w:rFonts w:ascii="仿宋_GB2312" w:hAnsi="仿宋_GB2312" w:eastAsia="仿宋_GB2312" w:cs="仿宋_GB2312"/>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听力康复服务</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每半年不少于1次的听力检测、声场评估和及时的听能管理。</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62" w:type="dxa"/>
            <w:vMerge w:val="continue"/>
            <w:vAlign w:val="center"/>
          </w:tcPr>
          <w:p>
            <w:pPr>
              <w:rPr>
                <w:rFonts w:ascii="仿宋_GB2312" w:hAnsi="仿宋_GB2312" w:eastAsia="仿宋_GB2312" w:cs="仿宋_GB2312"/>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包括为听力残疾儿童提供行为矫治、感觉统合训练、心理辅导等康复服务，为听力残疾儿童家长提供家庭康复指导、心理辅导、政策咨询、遗传咨询指导等服务。机构可根据实际需要提供相应服务，其中为家长提供的康复指导服务第一年每月不少于2次，每次不少于0.5小时；第二年、第三年每季度不少于2次，每次不少于0.5小时；之后每季度不少于1次，每次不少于0.5小时。</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62"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视力残疾（低视力）</w:t>
            </w:r>
          </w:p>
        </w:tc>
        <w:tc>
          <w:tcPr>
            <w:tcW w:w="1863"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辅助器具适配及服务</w:t>
            </w:r>
          </w:p>
        </w:tc>
        <w:tc>
          <w:tcPr>
            <w:tcW w:w="5670" w:type="dxa"/>
            <w:vAlign w:val="center"/>
          </w:tcPr>
          <w:p>
            <w:pPr>
              <w:rPr>
                <w:rFonts w:ascii="仿宋_GB2312" w:hAnsi="仿宋_GB2312" w:eastAsia="仿宋_GB2312" w:cs="仿宋_GB2312"/>
                <w:sz w:val="24"/>
                <w:szCs w:val="24"/>
              </w:rPr>
            </w:pPr>
            <w:r>
              <w:rPr>
                <w:rFonts w:ascii="仿宋_GB2312" w:hAnsi="仿宋_GB2312" w:eastAsia="仿宋_GB2312" w:cs="仿宋_GB2312"/>
                <w:sz w:val="24"/>
                <w:szCs w:val="24"/>
              </w:rPr>
              <w:t>功能评估；</w:t>
            </w:r>
            <w:r>
              <w:rPr>
                <w:rFonts w:hint="eastAsia" w:ascii="仿宋_GB2312" w:hAnsi="仿宋_GB2312" w:eastAsia="仿宋_GB2312" w:cs="仿宋_GB2312"/>
                <w:sz w:val="24"/>
                <w:szCs w:val="24"/>
              </w:rPr>
              <w:t>基本型远距离助视器、近距离助视器</w:t>
            </w:r>
            <w:r>
              <w:rPr>
                <w:rFonts w:ascii="仿宋_GB2312" w:hAnsi="仿宋_GB2312" w:eastAsia="仿宋_GB2312" w:cs="仿宋_GB2312"/>
                <w:sz w:val="24"/>
                <w:szCs w:val="24"/>
              </w:rPr>
              <w:t>适配</w:t>
            </w:r>
            <w:r>
              <w:rPr>
                <w:rFonts w:hint="eastAsia" w:ascii="仿宋_GB2312" w:hAnsi="仿宋_GB2312" w:eastAsia="仿宋_GB2312" w:cs="仿宋_GB2312"/>
                <w:sz w:val="24"/>
                <w:szCs w:val="24"/>
              </w:rPr>
              <w:t>；助视器适应性训练。</w:t>
            </w:r>
            <w:r>
              <w:rPr>
                <w:rFonts w:ascii="仿宋_GB2312" w:hAnsi="仿宋_GB2312" w:eastAsia="仿宋_GB2312" w:cs="仿宋_GB2312"/>
                <w:sz w:val="24"/>
                <w:szCs w:val="24"/>
              </w:rPr>
              <w:t>在救助年龄内，助视器适配每3年不超过1次。</w:t>
            </w:r>
            <w:r>
              <w:rPr>
                <w:rFonts w:hint="eastAsia" w:ascii="仿宋_GB2312" w:hAnsi="仿宋_GB2312" w:eastAsia="仿宋_GB2312" w:cs="仿宋_GB2312"/>
                <w:sz w:val="24"/>
                <w:szCs w:val="24"/>
              </w:rPr>
              <w:t xml:space="preserve">                     </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视功能训练</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功能评估；视觉基本技能训练（含固定注视、定位注视、视觉跟踪与追踪、视觉搜寻训练），训练时间不少于1个月。</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2" w:type="dxa"/>
            <w:vMerge w:val="restart"/>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智 力残 疾</w:t>
            </w:r>
          </w:p>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评估</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4"/>
                <w:sz w:val="24"/>
                <w:szCs w:val="24"/>
                <w:lang w:bidi="zh-CN"/>
              </w:rPr>
              <w:t>按照《智力残疾儿童康复救助定点服务机构服务指南》要求完成评估，并填写康复档案。</w:t>
            </w:r>
          </w:p>
        </w:tc>
        <w:tc>
          <w:tcPr>
            <w:tcW w:w="1314"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个别、小组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运动能力训练</w:t>
            </w:r>
          </w:p>
        </w:tc>
        <w:tc>
          <w:tcPr>
            <w:tcW w:w="5670"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基本康复训练每月不少于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天，每日不少于4 小时，其中个别训练每日不少于 0.5小时，运动训练（感统训练）每日不少于 1 小时，集体（组别）训练每日不少于 2.5小时。</w:t>
            </w:r>
          </w:p>
          <w:p>
            <w:pPr>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非全日制康复训练模式：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对3岁以下及已入普幼、普小的儿童可采取个别训练、集体（组别）教学等方式开展康复训练。</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（1）每日在康复机构训练的儿童，每月基本训练不少于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天，每日不少于2.5小时，其中个别训练不少于 0.5小时；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（2）每周在康复机构训练的儿童，每月不少于 8 次（每周不少于1 次）的个别训练，每次不少于1小时；或每月不少于8 次（每周不少于1 次）且康复效果与个别训练相当的组别教学，每次不少于1小时，同时每周还需对其进行融合教育指导1次。</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在两种康复训练模式的集体（组别）训练中，每名儿童每周音乐游戏活动不少于 1 次，每次不少于0.5小时；亲子训练和家庭指导每周不少于1次，每次不少于0.5小时；儿童社会融合活动每月不少于 1 次，每次不少于0.5小时。</w:t>
            </w:r>
          </w:p>
        </w:tc>
        <w:tc>
          <w:tcPr>
            <w:tcW w:w="1314"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个别训练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小组训练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感知能力训练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认知能力训练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语言交往能力训练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生活自理能力训练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社会适应能力训练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2" w:type="dxa"/>
            <w:vMerge w:val="continue"/>
            <w:vAlign w:val="center"/>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w:t>
            </w:r>
          </w:p>
        </w:tc>
        <w:tc>
          <w:tcPr>
            <w:tcW w:w="5670" w:type="dxa"/>
            <w:vAlign w:val="center"/>
          </w:tcPr>
          <w:p>
            <w:pPr>
              <w:rPr>
                <w:rFonts w:ascii="仿宋_GB2312" w:hAnsi="仿宋_GB2312" w:eastAsia="仿宋_GB2312" w:cs="仿宋_GB2312"/>
                <w:b/>
                <w:bCs/>
                <w:sz w:val="24"/>
                <w:szCs w:val="24"/>
              </w:rPr>
            </w:pPr>
            <w:r>
              <w:rPr>
                <w:rFonts w:hint="eastAsia" w:ascii="仿宋_GB2312" w:hAnsi="仿宋_GB2312" w:eastAsia="仿宋_GB2312" w:cs="仿宋_GB2312"/>
                <w:sz w:val="24"/>
                <w:szCs w:val="24"/>
              </w:rPr>
              <w:t>支持性服务包括家长康复知识培训、心理辅导、康复咨询与指导等服务，其中家长康复指导每月至少2次，每次不少于0.5小时。</w:t>
            </w:r>
          </w:p>
        </w:tc>
        <w:tc>
          <w:tcPr>
            <w:tcW w:w="1314"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个别、集体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孤</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独</w:t>
            </w:r>
          </w:p>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症</w:t>
            </w: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评估</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4"/>
                <w:sz w:val="24"/>
                <w:szCs w:val="24"/>
                <w:lang w:bidi="zh-CN"/>
              </w:rPr>
              <w:t>按照《孤独症儿童康复救助定点服务机构服务指南》要求完成评估，并填写康复档案。</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感知觉训练</w:t>
            </w:r>
          </w:p>
        </w:tc>
        <w:tc>
          <w:tcPr>
            <w:tcW w:w="5670"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基本康复训练每月不少于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天，每日不少于4 小时，其中个别训练每日不少于 0.5小时，运动训练（感统训练）每日不少于 1 小时，集体（组别）训练每日不少于 2.5小时。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非全日制康复训练模式：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对3岁以下及已入普幼、普小的儿童可采取个别训练、集体（组别）教学等方式开展康复训练。</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（1）每日在康复机构训练的儿童，每月基本训练不少于</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天，每日不少于2.5小时，其中个别训练不少于 0.5小时；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（2）每周在康复机构训练的儿童，每月不少于 8 次（每周不少于1 次）个别训练，每次不少于1小时；或每月不少于8 次（每周不少于1 次）且康复效果与个别训练相当的组别教学，每次不少于1小时，同时每周还需对其进行融合教育指导1次。</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在两种康复训练模式的集体（组别）训练中，每名儿童每周音乐游戏活动不少于 1 次，每次不少于0.5小时；亲子训练和家庭指导每周不少于1次，每次不少于0.5小时；儿童社会融合活动每月不少于 1 次，每次不少于0.5小时。</w:t>
            </w:r>
          </w:p>
        </w:tc>
        <w:tc>
          <w:tcPr>
            <w:tcW w:w="1314"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个别训练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小组训练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言语与沟通训练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pacing w:val="-5"/>
                <w:sz w:val="24"/>
                <w:szCs w:val="24"/>
              </w:rPr>
            </w:pPr>
            <w:r>
              <w:rPr>
                <w:rFonts w:hint="eastAsia" w:ascii="仿宋_GB2312" w:hAnsi="仿宋_GB2312" w:eastAsia="仿宋_GB2312" w:cs="仿宋_GB2312"/>
                <w:spacing w:val="-12"/>
                <w:sz w:val="24"/>
                <w:szCs w:val="24"/>
              </w:rPr>
              <w:t>粗大动作训练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pacing w:val="-12"/>
                <w:sz w:val="24"/>
                <w:szCs w:val="24"/>
              </w:rPr>
            </w:pPr>
            <w:r>
              <w:rPr>
                <w:rFonts w:hint="eastAsia" w:ascii="仿宋_GB2312" w:hAnsi="仿宋_GB2312" w:eastAsia="仿宋_GB2312" w:cs="仿宋_GB2312"/>
                <w:sz w:val="24"/>
                <w:szCs w:val="24"/>
              </w:rPr>
              <w:t>精细动作训练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生活自理能力</w:t>
            </w:r>
          </w:p>
          <w:p>
            <w:pPr>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1"/>
                <w:sz w:val="24"/>
                <w:szCs w:val="24"/>
              </w:rPr>
              <w:t>社交能力训练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情绪与行为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jc w:val="center"/>
              <w:rPr>
                <w:rFonts w:ascii="仿宋_GB2312" w:hAnsi="仿宋_GB2312" w:eastAsia="仿宋_GB2312" w:cs="仿宋_GB2312"/>
                <w:spacing w:val="-1"/>
                <w:sz w:val="24"/>
                <w:szCs w:val="24"/>
              </w:rPr>
            </w:pPr>
            <w:r>
              <w:rPr>
                <w:rFonts w:hint="eastAsia" w:ascii="仿宋_GB2312" w:hAnsi="仿宋_GB2312" w:eastAsia="仿宋_GB2312" w:cs="仿宋_GB2312"/>
                <w:sz w:val="24"/>
                <w:szCs w:val="24"/>
              </w:rPr>
              <w:t>支持性服务</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支持性服务包括家长康复知识培训、心理辅导、康复咨询与指导等服务，其中家长康复指导每月至少2次，每次不少于0.5小时。</w:t>
            </w:r>
          </w:p>
        </w:tc>
        <w:tc>
          <w:tcPr>
            <w:tcW w:w="13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62"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肢 体残 疾</w:t>
            </w:r>
          </w:p>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（脑瘫）</w:t>
            </w: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评估</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4"/>
                <w:sz w:val="24"/>
                <w:szCs w:val="24"/>
                <w:lang w:bidi="zh-CN"/>
              </w:rPr>
              <w:t>按照《脑瘫儿童康复救助定点服务机构服务指南》要求完成评估，并填写康复档案。</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运动疗法</w:t>
            </w:r>
          </w:p>
        </w:tc>
        <w:tc>
          <w:tcPr>
            <w:tcW w:w="5670" w:type="dxa"/>
            <w:vMerge w:val="restart"/>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1.康复训练救助时间每月不少于 </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 xml:space="preserve"> 天，每天康复训练项目不少于4项，每天康复训练总时长不少于2小时。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2.除中医传统疗法和物理因子疗法外，其他康复训练单项训练时间不少于 0.5 小时。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3.确有需要进行物理因子疗法的，需要根据儿童病情需求合理安排治疗项目及时间，每天最多不超过1小时。</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言语训练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restar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个别训练小组训练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作业疗法</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widowControl/>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认知知觉功能</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障碍训练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widowControl/>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生活自理能力</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restar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社会适应能力</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训练</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widowControl/>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感觉统合治疗</w:t>
            </w:r>
          </w:p>
        </w:tc>
        <w:tc>
          <w:tcPr>
            <w:tcW w:w="5670" w:type="dxa"/>
            <w:vMerge w:val="continue"/>
            <w:vAlign w:val="center"/>
          </w:tcPr>
          <w:p>
            <w:pPr>
              <w:rPr>
                <w:rFonts w:ascii="仿宋_GB2312" w:hAnsi="仿宋_GB2312" w:eastAsia="仿宋_GB2312" w:cs="仿宋_GB2312"/>
                <w:sz w:val="24"/>
                <w:szCs w:val="24"/>
              </w:rPr>
            </w:pP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小组训练</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中医传统疗法</w:t>
            </w:r>
          </w:p>
        </w:tc>
        <w:tc>
          <w:tcPr>
            <w:tcW w:w="5670" w:type="dxa"/>
            <w:vMerge w:val="continue"/>
            <w:vAlign w:val="center"/>
          </w:tcPr>
          <w:p>
            <w:pPr>
              <w:rPr>
                <w:rFonts w:ascii="仿宋_GB2312" w:hAnsi="仿宋_GB2312" w:eastAsia="仿宋_GB2312" w:cs="仿宋_GB2312"/>
                <w:sz w:val="24"/>
                <w:szCs w:val="24"/>
              </w:rPr>
            </w:pPr>
          </w:p>
        </w:tc>
        <w:tc>
          <w:tcPr>
            <w:tcW w:w="1314" w:type="dxa"/>
            <w:vMerge w:val="restar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物理因子疗法</w:t>
            </w:r>
          </w:p>
        </w:tc>
        <w:tc>
          <w:tcPr>
            <w:tcW w:w="5670" w:type="dxa"/>
            <w:vMerge w:val="continue"/>
            <w:vAlign w:val="center"/>
          </w:tcPr>
          <w:p>
            <w:pPr>
              <w:rPr>
                <w:rFonts w:ascii="仿宋_GB2312" w:hAnsi="仿宋_GB2312" w:eastAsia="仿宋_GB2312" w:cs="仿宋_GB2312"/>
                <w:sz w:val="24"/>
                <w:szCs w:val="24"/>
              </w:rPr>
            </w:pPr>
          </w:p>
        </w:tc>
        <w:tc>
          <w:tcPr>
            <w:tcW w:w="1314" w:type="dxa"/>
            <w:vMerge w:val="continue"/>
            <w:vAlign w:val="center"/>
          </w:tcPr>
          <w:p>
            <w:pPr>
              <w:widowControl/>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continue"/>
          </w:tcPr>
          <w:p>
            <w:pPr>
              <w:jc w:val="center"/>
              <w:rPr>
                <w:rFonts w:ascii="仿宋_GB2312" w:hAnsi="仿宋_GB2312" w:eastAsia="仿宋_GB2312" w:cs="仿宋_GB2312"/>
                <w:b/>
                <w:bCs/>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w:t>
            </w:r>
          </w:p>
        </w:tc>
        <w:tc>
          <w:tcPr>
            <w:tcW w:w="567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支持性服务包括家长康复知识培训、心理辅导、康复咨询与指导等服务，其中家长康复指导每月至少2次，每次不少于0.5小时。</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09" w:type="dxa"/>
            <w:gridSpan w:val="4"/>
            <w:vAlign w:val="center"/>
          </w:tcPr>
          <w:p>
            <w:pPr>
              <w:jc w:val="center"/>
              <w:rPr>
                <w:rFonts w:ascii="仿宋_GB2312" w:hAnsi="仿宋_GB2312" w:eastAsia="仿宋_GB2312" w:cs="仿宋_GB2312"/>
                <w:sz w:val="24"/>
                <w:szCs w:val="24"/>
              </w:rPr>
            </w:pPr>
            <w:r>
              <w:rPr>
                <w:rFonts w:hint="eastAsia" w:ascii="黑体" w:hAnsi="黑体" w:eastAsia="黑体" w:cs="黑体"/>
                <w:sz w:val="24"/>
                <w:szCs w:val="24"/>
              </w:rPr>
              <w:t>手术类、辅助器具类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restart"/>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听力残 疾</w:t>
            </w: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人工耳蜗</w:t>
            </w:r>
          </w:p>
        </w:tc>
        <w:tc>
          <w:tcPr>
            <w:tcW w:w="5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单耳</w:t>
            </w:r>
            <w:r>
              <w:rPr>
                <w:rFonts w:ascii="仿宋_GB2312" w:hAnsi="仿宋_GB2312" w:eastAsia="仿宋_GB2312" w:cs="仿宋_GB2312"/>
                <w:sz w:val="24"/>
                <w:szCs w:val="24"/>
              </w:rPr>
              <w:t>植入</w:t>
            </w:r>
            <w:r>
              <w:rPr>
                <w:rFonts w:hint="eastAsia" w:ascii="仿宋_GB2312" w:hAnsi="仿宋_GB2312" w:eastAsia="仿宋_GB2312" w:cs="仿宋_GB2312"/>
                <w:sz w:val="24"/>
                <w:szCs w:val="24"/>
              </w:rPr>
              <w:t>人工耳蜗；第一年调机不少于3次，之后每年调机不少于1次。</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continue"/>
            <w:vAlign w:val="center"/>
          </w:tcPr>
          <w:p>
            <w:pPr>
              <w:widowControl/>
              <w:rPr>
                <w:rFonts w:ascii="仿宋_GB2312" w:hAnsi="仿宋_GB2312" w:eastAsia="仿宋_GB2312" w:cs="仿宋_GB2312"/>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助听器适配及服务</w:t>
            </w:r>
          </w:p>
        </w:tc>
        <w:tc>
          <w:tcPr>
            <w:tcW w:w="5670" w:type="dxa"/>
            <w:vAlign w:val="center"/>
          </w:tcPr>
          <w:p>
            <w:pPr>
              <w:widowControl/>
              <w:numPr>
                <w:ilvl w:val="0"/>
                <w:numId w:val="1"/>
              </w:numPr>
              <w:rPr>
                <w:rFonts w:ascii="仿宋_GB2312" w:hAnsi="仿宋_GB2312" w:eastAsia="仿宋_GB2312" w:cs="仿宋_GB2312"/>
                <w:sz w:val="24"/>
                <w:szCs w:val="24"/>
              </w:rPr>
            </w:pPr>
            <w:r>
              <w:rPr>
                <w:rFonts w:hint="eastAsia" w:ascii="仿宋_GB2312" w:hAnsi="仿宋_GB2312" w:eastAsia="仿宋_GB2312" w:cs="仿宋_GB2312"/>
                <w:sz w:val="24"/>
                <w:szCs w:val="24"/>
              </w:rPr>
              <w:t>助听器。每年助听器调试不少于2次。                            2.助听器辅助材料。耳模，每半年评估1次。电池，每日自行评估。根据评估结果更换耳模、电池。</w:t>
            </w:r>
          </w:p>
          <w:p>
            <w:pPr>
              <w:widowControl/>
              <w:rPr>
                <w:rFonts w:ascii="仿宋_GB2312" w:hAnsi="仿宋_GB2312" w:eastAsia="仿宋_GB2312" w:cs="仿宋_GB2312"/>
                <w:sz w:val="24"/>
                <w:szCs w:val="24"/>
              </w:rPr>
            </w:pPr>
            <w:r>
              <w:rPr>
                <w:rFonts w:ascii="仿宋_GB2312" w:hAnsi="仿宋_GB2312" w:eastAsia="仿宋_GB2312" w:cs="仿宋_GB2312"/>
                <w:sz w:val="24"/>
                <w:szCs w:val="24"/>
              </w:rPr>
              <w:t>在救助年龄内，助听器适配每3年不超过1次。</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restart"/>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肢体残 疾</w:t>
            </w: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矫治手术</w:t>
            </w:r>
          </w:p>
        </w:tc>
        <w:tc>
          <w:tcPr>
            <w:tcW w:w="5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先天性马蹄内翻足等足畸形、小儿麻痹后遗症、脑瘫导致严重痉挛、肌腱挛缩、关节畸形及脱位、脊柱裂导致下肢畸形等矫治手术。</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continue"/>
            <w:vAlign w:val="center"/>
          </w:tcPr>
          <w:p>
            <w:pPr>
              <w:widowControl/>
              <w:rPr>
                <w:rFonts w:ascii="仿宋_GB2312" w:hAnsi="仿宋_GB2312" w:eastAsia="仿宋_GB2312" w:cs="仿宋_GB2312"/>
                <w:sz w:val="24"/>
                <w:szCs w:val="24"/>
              </w:rPr>
            </w:pPr>
          </w:p>
        </w:tc>
        <w:tc>
          <w:tcPr>
            <w:tcW w:w="1863"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辅助器具适配及服务</w:t>
            </w:r>
          </w:p>
        </w:tc>
        <w:tc>
          <w:tcPr>
            <w:tcW w:w="5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根据评估结果选择适配基本型假肢、矫形器、轮椅、助行器具、坐姿椅、站立架等辅助器具，提供使用指导。</w:t>
            </w:r>
            <w:r>
              <w:rPr>
                <w:rFonts w:ascii="仿宋_GB2312" w:hAnsi="仿宋_GB2312" w:eastAsia="仿宋_GB2312" w:cs="仿宋_GB2312"/>
                <w:sz w:val="24"/>
                <w:szCs w:val="24"/>
              </w:rPr>
              <w:t>在救助年龄内，假肢、矫形器适配每年不超过1次；轮椅、坐姿椅、站立架、助行器每3年不超过1次。</w:t>
            </w:r>
          </w:p>
        </w:tc>
        <w:tc>
          <w:tcPr>
            <w:tcW w:w="1314"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个别</w:t>
            </w:r>
          </w:p>
        </w:tc>
      </w:tr>
    </w:tbl>
    <w:p>
      <w:pPr>
        <w:widowControl/>
        <w:rPr>
          <w:sz w:val="26"/>
        </w:rPr>
        <w:sectPr>
          <w:footerReference r:id="rId3" w:type="default"/>
          <w:footerReference r:id="rId4" w:type="even"/>
          <w:type w:val="continuous"/>
          <w:pgSz w:w="11910" w:h="16840"/>
          <w:pgMar w:top="2098" w:right="1474" w:bottom="1984" w:left="1588" w:header="0" w:footer="1389" w:gutter="0"/>
          <w:cols w:space="720" w:num="1"/>
          <w:titlePg/>
          <w:docGrid w:linePitch="286" w:charSpace="0"/>
        </w:sect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湖南省听力残疾儿童人工耳蜗</w:t>
      </w: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手术定点医院申报</w:t>
      </w:r>
      <w:r>
        <w:rPr>
          <w:rFonts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rPr>
        <w:t>表</w:t>
      </w:r>
    </w:p>
    <w:p>
      <w:pPr>
        <w:jc w:val="center"/>
        <w:rPr>
          <w:b/>
          <w:sz w:val="18"/>
          <w:szCs w:val="18"/>
        </w:rPr>
      </w:pPr>
    </w:p>
    <w:tbl>
      <w:tblPr>
        <w:tblStyle w:val="6"/>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975"/>
        <w:gridCol w:w="1261"/>
        <w:gridCol w:w="1260"/>
        <w:gridCol w:w="826"/>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医院名称</w:t>
            </w:r>
          </w:p>
        </w:tc>
        <w:tc>
          <w:tcPr>
            <w:tcW w:w="4496" w:type="dxa"/>
            <w:gridSpan w:val="3"/>
            <w:tcBorders>
              <w:top w:val="single" w:color="auto" w:sz="4" w:space="0"/>
              <w:left w:val="single" w:color="auto" w:sz="4" w:space="0"/>
              <w:bottom w:val="single" w:color="auto" w:sz="4" w:space="0"/>
              <w:right w:val="single" w:color="auto" w:sz="4" w:space="0"/>
            </w:tcBorders>
            <w:vAlign w:val="center"/>
          </w:tcPr>
          <w:p>
            <w:pPr>
              <w:ind w:left="3048" w:leftChars="200" w:hanging="2628" w:hangingChars="1091"/>
              <w:jc w:val="center"/>
              <w:rPr>
                <w:rFonts w:ascii="仿宋_GB2312" w:hAnsi="仿宋_GB2312" w:eastAsia="仿宋_GB2312" w:cs="仿宋_GB2312"/>
                <w:b/>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院长</w:t>
            </w:r>
          </w:p>
        </w:tc>
        <w:tc>
          <w:tcPr>
            <w:tcW w:w="2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医院地址</w:t>
            </w:r>
          </w:p>
        </w:tc>
        <w:tc>
          <w:tcPr>
            <w:tcW w:w="44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2770"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975" w:type="dxa"/>
            <w:vMerge w:val="restart"/>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b/>
                <w:sz w:val="24"/>
                <w:szCs w:val="24"/>
              </w:rPr>
            </w:pPr>
          </w:p>
          <w:p>
            <w:pPr>
              <w:rPr>
                <w:rFonts w:ascii="仿宋_GB2312" w:hAnsi="仿宋_GB2312" w:eastAsia="仿宋_GB2312" w:cs="仿宋_GB2312"/>
                <w:b/>
                <w:sz w:val="24"/>
                <w:szCs w:val="24"/>
              </w:rPr>
            </w:pPr>
          </w:p>
          <w:p>
            <w:pPr>
              <w:ind w:firstLine="840" w:firstLineChars="350"/>
              <w:rPr>
                <w:rFonts w:ascii="仿宋_GB2312" w:hAnsi="仿宋_GB2312" w:eastAsia="仿宋_GB2312" w:cs="仿宋_GB2312"/>
                <w:b/>
                <w:sz w:val="24"/>
                <w:szCs w:val="24"/>
              </w:rPr>
            </w:pPr>
            <w:r>
              <w:rPr>
                <w:rFonts w:hint="eastAsia" w:ascii="仿宋_GB2312" w:hAnsi="仿宋_GB2312" w:eastAsia="仿宋_GB2312" w:cs="仿宋_GB2312"/>
                <w:bCs/>
                <w:sz w:val="24"/>
                <w:szCs w:val="24"/>
              </w:rPr>
              <w:t>（签字）</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24"/>
                <w:szCs w:val="24"/>
              </w:rPr>
            </w:pPr>
          </w:p>
        </w:tc>
        <w:tc>
          <w:tcPr>
            <w:tcW w:w="8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2770" w:type="dxa"/>
            <w:vMerge w:val="restart"/>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电话：</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传真：</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行政职务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24"/>
                <w:szCs w:val="24"/>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277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医院意见</w:t>
            </w:r>
          </w:p>
        </w:tc>
        <w:tc>
          <w:tcPr>
            <w:tcW w:w="8092"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widowControl/>
              <w:ind w:firstLine="5640" w:firstLineChars="2350"/>
              <w:rPr>
                <w:rFonts w:ascii="仿宋_GB2312" w:hAnsi="仿宋_GB2312" w:eastAsia="仿宋_GB2312" w:cs="仿宋_GB2312"/>
                <w:sz w:val="24"/>
                <w:szCs w:val="24"/>
              </w:rPr>
            </w:pPr>
            <w:r>
              <w:rPr>
                <w:rFonts w:hint="eastAsia" w:ascii="仿宋_GB2312" w:hAnsi="仿宋_GB2312" w:eastAsia="仿宋_GB2312" w:cs="仿宋_GB2312"/>
                <w:sz w:val="24"/>
                <w:szCs w:val="24"/>
              </w:rPr>
              <w:t>盖   章</w:t>
            </w:r>
          </w:p>
          <w:p>
            <w:pPr>
              <w:spacing w:after="240" w:afterLine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卫健</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部门意见</w:t>
            </w:r>
          </w:p>
        </w:tc>
        <w:tc>
          <w:tcPr>
            <w:tcW w:w="8092" w:type="dxa"/>
            <w:gridSpan w:val="5"/>
            <w:tcBorders>
              <w:top w:val="single" w:color="auto" w:sz="4" w:space="0"/>
              <w:left w:val="single" w:color="auto" w:sz="4" w:space="0"/>
              <w:bottom w:val="single" w:color="auto" w:sz="4" w:space="0"/>
              <w:right w:val="single" w:color="auto" w:sz="4" w:space="0"/>
            </w:tcBorders>
          </w:tcPr>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ind w:firstLine="422"/>
              <w:jc w:val="center"/>
              <w:rPr>
                <w:rFonts w:ascii="仿宋_GB2312" w:hAnsi="仿宋_GB2312" w:eastAsia="仿宋_GB2312" w:cs="仿宋_GB2312"/>
                <w:sz w:val="24"/>
                <w:szCs w:val="24"/>
              </w:rPr>
            </w:pPr>
          </w:p>
          <w:p>
            <w:pPr>
              <w:ind w:firstLine="422"/>
              <w:jc w:val="center"/>
              <w:rPr>
                <w:rFonts w:ascii="仿宋_GB2312" w:hAnsi="仿宋_GB2312" w:eastAsia="仿宋_GB2312" w:cs="仿宋_GB2312"/>
                <w:sz w:val="24"/>
                <w:szCs w:val="24"/>
              </w:rPr>
            </w:pPr>
          </w:p>
          <w:p>
            <w:pPr>
              <w:widowControl/>
              <w:ind w:firstLine="5520" w:firstLineChars="2300"/>
              <w:rPr>
                <w:rFonts w:ascii="仿宋_GB2312" w:hAnsi="仿宋_GB2312" w:eastAsia="仿宋_GB2312" w:cs="仿宋_GB2312"/>
                <w:sz w:val="24"/>
                <w:szCs w:val="24"/>
              </w:rPr>
            </w:pPr>
            <w:r>
              <w:rPr>
                <w:rFonts w:hint="eastAsia" w:ascii="仿宋_GB2312" w:hAnsi="仿宋_GB2312" w:eastAsia="仿宋_GB2312" w:cs="仿宋_GB2312"/>
                <w:sz w:val="24"/>
                <w:szCs w:val="24"/>
              </w:rPr>
              <w:t>盖   章</w:t>
            </w:r>
          </w:p>
          <w:p>
            <w:pPr>
              <w:spacing w:after="240" w:afterLines="100"/>
              <w:ind w:right="845" w:firstLine="2856" w:firstLineChars="119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省残联</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8092" w:type="dxa"/>
            <w:gridSpan w:val="5"/>
            <w:tcBorders>
              <w:top w:val="single" w:color="auto" w:sz="4" w:space="0"/>
              <w:left w:val="single" w:color="auto" w:sz="4" w:space="0"/>
              <w:bottom w:val="single" w:color="auto" w:sz="4" w:space="0"/>
              <w:right w:val="single" w:color="auto" w:sz="4" w:space="0"/>
            </w:tcBorders>
          </w:tcPr>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422"/>
              <w:jc w:val="center"/>
              <w:rPr>
                <w:rFonts w:ascii="仿宋_GB2312" w:hAnsi="仿宋_GB2312" w:eastAsia="仿宋_GB2312" w:cs="仿宋_GB2312"/>
                <w:sz w:val="24"/>
                <w:szCs w:val="24"/>
              </w:rPr>
            </w:pPr>
          </w:p>
          <w:p>
            <w:pPr>
              <w:widowControl/>
              <w:ind w:firstLine="5520" w:firstLineChars="2300"/>
              <w:rPr>
                <w:rFonts w:ascii="仿宋_GB2312" w:hAnsi="仿宋_GB2312" w:eastAsia="仿宋_GB2312" w:cs="仿宋_GB2312"/>
                <w:sz w:val="24"/>
                <w:szCs w:val="24"/>
              </w:rPr>
            </w:pPr>
            <w:r>
              <w:rPr>
                <w:rFonts w:hint="eastAsia" w:ascii="仿宋_GB2312" w:hAnsi="仿宋_GB2312" w:eastAsia="仿宋_GB2312" w:cs="仿宋_GB2312"/>
                <w:sz w:val="24"/>
                <w:szCs w:val="24"/>
              </w:rPr>
              <w:t>盖   章</w:t>
            </w:r>
          </w:p>
          <w:p>
            <w:pPr>
              <w:widowControl/>
              <w:ind w:firstLine="4320" w:firstLineChars="18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湖南省残疾儿童肢体矫治手术定点机构</w:t>
      </w:r>
    </w:p>
    <w:p>
      <w:pPr>
        <w:spacing w:after="120" w:afterLines="50" w:line="580" w:lineRule="exact"/>
        <w:jc w:val="center"/>
        <w:rPr>
          <w:sz w:val="30"/>
          <w:szCs w:val="30"/>
        </w:rPr>
      </w:pPr>
      <w:r>
        <w:rPr>
          <w:rFonts w:hint="eastAsia" w:ascii="方正小标宋简体" w:hAnsi="方正小标宋简体" w:eastAsia="方正小标宋简体" w:cs="方正小标宋简体"/>
          <w:sz w:val="44"/>
          <w:szCs w:val="44"/>
        </w:rPr>
        <w:t>（省级）申报</w:t>
      </w:r>
      <w:r>
        <w:rPr>
          <w:rFonts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rPr>
        <w:t>表</w:t>
      </w:r>
    </w:p>
    <w:tbl>
      <w:tblPr>
        <w:tblStyle w:val="6"/>
        <w:tblW w:w="966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116"/>
        <w:gridCol w:w="1438"/>
        <w:gridCol w:w="1438"/>
        <w:gridCol w:w="1807"/>
        <w:gridCol w:w="1650"/>
        <w:gridCol w:w="121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116" w:type="dxa"/>
            <w:tcBorders>
              <w:top w:val="single" w:color="auto" w:sz="4" w:space="0"/>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7546" w:type="dxa"/>
            <w:gridSpan w:val="5"/>
            <w:tcBorders>
              <w:top w:val="single" w:color="auto" w:sz="4" w:space="0"/>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116"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4683" w:type="dxa"/>
            <w:gridSpan w:val="3"/>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c>
          <w:tcPr>
            <w:tcW w:w="165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213" w:type="dxa"/>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116"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1438" w:type="dxa"/>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c>
          <w:tcPr>
            <w:tcW w:w="143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807" w:type="dxa"/>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c>
          <w:tcPr>
            <w:tcW w:w="165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上级主管部门</w:t>
            </w:r>
          </w:p>
        </w:tc>
        <w:tc>
          <w:tcPr>
            <w:tcW w:w="1213" w:type="dxa"/>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116"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1438" w:type="dxa"/>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c>
          <w:tcPr>
            <w:tcW w:w="143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4670" w:type="dxa"/>
            <w:gridSpan w:val="3"/>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2116" w:type="dxa"/>
            <w:tcBorders>
              <w:top w:val="nil"/>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机构性质</w:t>
            </w:r>
          </w:p>
        </w:tc>
        <w:tc>
          <w:tcPr>
            <w:tcW w:w="7546" w:type="dxa"/>
            <w:gridSpan w:val="5"/>
            <w:tcBorders>
              <w:top w:val="nil"/>
              <w:left w:val="nil"/>
              <w:bottom w:val="single" w:color="auto" w:sz="4" w:space="0"/>
              <w:right w:val="single" w:color="auto" w:sz="6" w:space="0"/>
            </w:tcBorders>
            <w:tcMar>
              <w:top w:w="0" w:type="dxa"/>
              <w:left w:w="60" w:type="dxa"/>
              <w:bottom w:w="0" w:type="dxa"/>
              <w:right w:w="60" w:type="dxa"/>
            </w:tcMar>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□公办康复机构</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□社会组织（□民办非企业类）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□卫生</w:t>
            </w:r>
          </w:p>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□民政  □其他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8" w:hRule="atLeast"/>
          <w:jc w:val="center"/>
        </w:trPr>
        <w:tc>
          <w:tcPr>
            <w:tcW w:w="2116" w:type="dxa"/>
            <w:tcBorders>
              <w:top w:val="single" w:color="auto" w:sz="4" w:space="0"/>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机构简介</w:t>
            </w:r>
          </w:p>
        </w:tc>
        <w:tc>
          <w:tcPr>
            <w:tcW w:w="7546" w:type="dxa"/>
            <w:gridSpan w:val="5"/>
            <w:tcBorders>
              <w:top w:val="single" w:color="auto" w:sz="4" w:space="0"/>
              <w:left w:val="nil"/>
              <w:bottom w:val="single" w:color="auto" w:sz="4" w:space="0"/>
              <w:right w:val="single" w:color="auto" w:sz="6" w:space="0"/>
            </w:tcBorders>
            <w:tcMar>
              <w:top w:w="0" w:type="dxa"/>
              <w:left w:w="60" w:type="dxa"/>
              <w:bottom w:w="0" w:type="dxa"/>
              <w:right w:w="60" w:type="dxa"/>
            </w:tcMar>
            <w:vAlign w:val="center"/>
          </w:tcPr>
          <w:p>
            <w:pPr>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5" w:hRule="atLeast"/>
          <w:jc w:val="center"/>
        </w:trPr>
        <w:tc>
          <w:tcPr>
            <w:tcW w:w="2116" w:type="dxa"/>
            <w:tcBorders>
              <w:top w:val="single" w:color="auto" w:sz="4" w:space="0"/>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tabs>
                <w:tab w:val="left" w:pos="521"/>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省残联</w:t>
            </w:r>
          </w:p>
          <w:p>
            <w:pPr>
              <w:widowControl/>
              <w:tabs>
                <w:tab w:val="left" w:pos="521"/>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546" w:type="dxa"/>
            <w:gridSpan w:val="5"/>
            <w:tcBorders>
              <w:top w:val="single" w:color="auto" w:sz="4" w:space="0"/>
              <w:left w:val="nil"/>
              <w:bottom w:val="single" w:color="auto" w:sz="6" w:space="0"/>
              <w:right w:val="single" w:color="auto" w:sz="6" w:space="0"/>
            </w:tcBorders>
            <w:tcMar>
              <w:top w:w="0" w:type="dxa"/>
              <w:left w:w="60" w:type="dxa"/>
              <w:bottom w:w="0" w:type="dxa"/>
              <w:right w:w="60" w:type="dxa"/>
            </w:tcMar>
            <w:vAlign w:val="center"/>
          </w:tcPr>
          <w:p>
            <w:pPr>
              <w:widowControl/>
              <w:ind w:firstLine="5880"/>
              <w:rPr>
                <w:rFonts w:ascii="仿宋_GB2312" w:hAnsi="仿宋_GB2312" w:eastAsia="仿宋_GB2312" w:cs="仿宋_GB2312"/>
                <w:sz w:val="24"/>
                <w:szCs w:val="24"/>
              </w:rPr>
            </w:pPr>
          </w:p>
          <w:p>
            <w:pPr>
              <w:widowControl/>
              <w:ind w:firstLine="5880"/>
              <w:rPr>
                <w:rFonts w:ascii="仿宋_GB2312" w:hAnsi="仿宋_GB2312" w:eastAsia="仿宋_GB2312" w:cs="仿宋_GB2312"/>
                <w:sz w:val="24"/>
                <w:szCs w:val="24"/>
              </w:rPr>
            </w:pPr>
          </w:p>
          <w:p>
            <w:pPr>
              <w:widowControl/>
              <w:ind w:firstLine="5880"/>
              <w:rPr>
                <w:rFonts w:ascii="仿宋_GB2312" w:hAnsi="仿宋_GB2312" w:eastAsia="仿宋_GB2312" w:cs="仿宋_GB2312"/>
                <w:sz w:val="24"/>
                <w:szCs w:val="24"/>
              </w:rPr>
            </w:pPr>
          </w:p>
          <w:p>
            <w:pPr>
              <w:widowControl/>
              <w:ind w:firstLine="5880"/>
              <w:rPr>
                <w:rFonts w:ascii="仿宋_GB2312" w:hAnsi="仿宋_GB2312" w:eastAsia="仿宋_GB2312" w:cs="仿宋_GB2312"/>
                <w:sz w:val="24"/>
                <w:szCs w:val="24"/>
              </w:rPr>
            </w:pPr>
          </w:p>
          <w:p>
            <w:pPr>
              <w:widowControl/>
              <w:ind w:firstLine="5880"/>
              <w:rPr>
                <w:rFonts w:ascii="仿宋_GB2312" w:hAnsi="仿宋_GB2312" w:eastAsia="仿宋_GB2312" w:cs="仿宋_GB2312"/>
                <w:sz w:val="24"/>
                <w:szCs w:val="24"/>
              </w:rPr>
            </w:pPr>
          </w:p>
          <w:p>
            <w:pPr>
              <w:widowControl/>
              <w:ind w:firstLine="5520" w:firstLineChars="2300"/>
              <w:rPr>
                <w:rFonts w:ascii="仿宋_GB2312" w:hAnsi="仿宋_GB2312" w:eastAsia="仿宋_GB2312" w:cs="仿宋_GB2312"/>
                <w:sz w:val="24"/>
                <w:szCs w:val="24"/>
              </w:rPr>
            </w:pPr>
            <w:r>
              <w:rPr>
                <w:rFonts w:hint="eastAsia" w:ascii="仿宋_GB2312" w:hAnsi="仿宋_GB2312" w:eastAsia="仿宋_GB2312" w:cs="仿宋_GB2312"/>
                <w:sz w:val="24"/>
                <w:szCs w:val="24"/>
              </w:rPr>
              <w:t>盖   章</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widowControl/>
        <w:tabs>
          <w:tab w:val="left" w:pos="521"/>
        </w:tabs>
        <w:rPr>
          <w:rFonts w:ascii="仿宋_GB2312" w:hAnsi="仿宋_GB2312" w:eastAsia="仿宋_GB2312" w:cs="仿宋_GB2312"/>
          <w:sz w:val="24"/>
          <w:szCs w:val="24"/>
        </w:rPr>
      </w:pPr>
      <w:r>
        <w:rPr>
          <w:rFonts w:hint="eastAsia" w:ascii="仿宋_GB2312" w:hAnsi="仿宋_GB2312" w:eastAsia="仿宋_GB2312" w:cs="仿宋_GB2312"/>
          <w:sz w:val="24"/>
          <w:szCs w:val="24"/>
        </w:rPr>
        <w:t>填表说明：1.“机构简介”栏应据实填写机构信息、申报理由，可另附表。</w:t>
      </w:r>
    </w:p>
    <w:p>
      <w:pPr>
        <w:widowControl/>
        <w:tabs>
          <w:tab w:val="left" w:pos="521"/>
        </w:tabs>
        <w:ind w:firstLine="1200" w:firstLineChars="500"/>
        <w:rPr>
          <w:rFonts w:ascii="黑体" w:hAnsi="黑体" w:eastAsia="黑体" w:cs="黑体"/>
          <w:sz w:val="32"/>
          <w:szCs w:val="32"/>
        </w:rPr>
      </w:pPr>
      <w:r>
        <w:rPr>
          <w:rFonts w:hint="eastAsia" w:ascii="仿宋_GB2312" w:hAnsi="仿宋_GB2312" w:eastAsia="仿宋_GB2312" w:cs="仿宋_GB2312"/>
          <w:sz w:val="24"/>
          <w:szCs w:val="24"/>
        </w:rPr>
        <w:t>2.省级定点服务机构分别由省残联征求本级相关部门意见择优选择。</w:t>
      </w: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湖南省残疾儿童辅助器具适配服务定点</w:t>
      </w:r>
    </w:p>
    <w:p>
      <w:pPr>
        <w:widowControl/>
        <w:spacing w:after="120"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机构申报</w:t>
      </w:r>
      <w:r>
        <w:rPr>
          <w:rFonts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rPr>
        <w:t>表</w:t>
      </w:r>
    </w:p>
    <w:tbl>
      <w:tblPr>
        <w:tblStyle w:val="6"/>
        <w:tblW w:w="961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10"/>
        <w:gridCol w:w="2923"/>
        <w:gridCol w:w="1260"/>
        <w:gridCol w:w="1380"/>
        <w:gridCol w:w="21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910" w:type="dxa"/>
            <w:tcBorders>
              <w:top w:val="single" w:color="auto" w:sz="4" w:space="0"/>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4183" w:type="dxa"/>
            <w:gridSpan w:val="2"/>
            <w:tcBorders>
              <w:top w:val="single" w:color="auto" w:sz="4" w:space="0"/>
              <w:left w:val="nil"/>
              <w:bottom w:val="single" w:color="auto" w:sz="6" w:space="0"/>
              <w:right w:val="single" w:color="auto" w:sz="4"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c>
          <w:tcPr>
            <w:tcW w:w="1380" w:type="dxa"/>
            <w:tcBorders>
              <w:top w:val="single" w:color="auto" w:sz="4" w:space="0"/>
              <w:left w:val="single" w:color="auto" w:sz="4" w:space="0"/>
              <w:bottom w:val="single" w:color="auto" w:sz="6" w:space="0"/>
              <w:right w:val="single" w:color="auto" w:sz="4"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40" w:type="dxa"/>
            <w:tcBorders>
              <w:top w:val="single" w:color="auto" w:sz="4" w:space="0"/>
              <w:left w:val="single" w:color="auto" w:sz="4"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4" w:hRule="atLeast"/>
          <w:jc w:val="center"/>
        </w:trPr>
        <w:tc>
          <w:tcPr>
            <w:tcW w:w="191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2923" w:type="dxa"/>
            <w:tcBorders>
              <w:top w:val="nil"/>
              <w:left w:val="nil"/>
              <w:bottom w:val="single" w:color="auto" w:sz="6" w:space="0"/>
              <w:right w:val="single" w:color="auto" w:sz="4"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p>
        </w:tc>
        <w:tc>
          <w:tcPr>
            <w:tcW w:w="1260" w:type="dxa"/>
            <w:tcBorders>
              <w:top w:val="nil"/>
              <w:left w:val="single" w:color="auto" w:sz="4" w:space="0"/>
              <w:bottom w:val="single" w:color="auto" w:sz="6" w:space="0"/>
              <w:right w:val="single" w:color="auto" w:sz="4"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3520" w:type="dxa"/>
            <w:gridSpan w:val="2"/>
            <w:tcBorders>
              <w:top w:val="nil"/>
              <w:left w:val="single" w:color="auto" w:sz="4"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1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2923" w:type="dxa"/>
            <w:tcBorders>
              <w:top w:val="nil"/>
              <w:left w:val="nil"/>
              <w:bottom w:val="single" w:color="auto" w:sz="6" w:space="0"/>
              <w:right w:val="single" w:color="auto" w:sz="4"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c>
          <w:tcPr>
            <w:tcW w:w="1260" w:type="dxa"/>
            <w:tcBorders>
              <w:top w:val="nil"/>
              <w:left w:val="single" w:color="auto" w:sz="4" w:space="0"/>
              <w:bottom w:val="single" w:color="auto" w:sz="6" w:space="0"/>
              <w:right w:val="single" w:color="auto" w:sz="4"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520" w:type="dxa"/>
            <w:gridSpan w:val="2"/>
            <w:tcBorders>
              <w:top w:val="nil"/>
              <w:left w:val="single" w:color="auto" w:sz="4"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910" w:type="dxa"/>
            <w:tcBorders>
              <w:top w:val="nil"/>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机构性质</w:t>
            </w:r>
          </w:p>
        </w:tc>
        <w:tc>
          <w:tcPr>
            <w:tcW w:w="7703" w:type="dxa"/>
            <w:gridSpan w:val="4"/>
            <w:tcBorders>
              <w:top w:val="nil"/>
              <w:left w:val="nil"/>
              <w:bottom w:val="single" w:color="auto" w:sz="4"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□事业单位  □企业  □社会组织   □医疗卫生机构  □教育机构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□其它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1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机构类型</w:t>
            </w:r>
          </w:p>
        </w:tc>
        <w:tc>
          <w:tcPr>
            <w:tcW w:w="4183" w:type="dxa"/>
            <w:gridSpan w:val="2"/>
            <w:tcBorders>
              <w:top w:val="nil"/>
              <w:left w:val="nil"/>
              <w:bottom w:val="single" w:color="auto" w:sz="6" w:space="0"/>
              <w:right w:val="single" w:color="auto" w:sz="4"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□低视力    □假肢矫形器        </w:t>
            </w:r>
          </w:p>
          <w:p>
            <w:pPr>
              <w:widowControl/>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□助听器    □基本型辅助器具</w:t>
            </w:r>
          </w:p>
        </w:tc>
        <w:tc>
          <w:tcPr>
            <w:tcW w:w="1380" w:type="dxa"/>
            <w:tcBorders>
              <w:top w:val="nil"/>
              <w:left w:val="single" w:color="auto" w:sz="4" w:space="0"/>
              <w:bottom w:val="single" w:color="auto" w:sz="6" w:space="0"/>
              <w:right w:val="single" w:color="auto" w:sz="4"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定点残联</w:t>
            </w:r>
          </w:p>
        </w:tc>
        <w:tc>
          <w:tcPr>
            <w:tcW w:w="2140" w:type="dxa"/>
            <w:tcBorders>
              <w:top w:val="nil"/>
              <w:left w:val="single" w:color="auto" w:sz="4" w:space="0"/>
              <w:bottom w:val="single" w:color="auto" w:sz="6"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57" w:hRule="atLeast"/>
          <w:jc w:val="center"/>
        </w:trPr>
        <w:tc>
          <w:tcPr>
            <w:tcW w:w="1910" w:type="dxa"/>
            <w:tcBorders>
              <w:top w:val="single" w:color="auto" w:sz="4" w:space="0"/>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机构简介</w:t>
            </w:r>
          </w:p>
        </w:tc>
        <w:tc>
          <w:tcPr>
            <w:tcW w:w="7703" w:type="dxa"/>
            <w:gridSpan w:val="4"/>
            <w:tcBorders>
              <w:top w:val="single" w:color="auto" w:sz="4" w:space="0"/>
              <w:left w:val="nil"/>
              <w:bottom w:val="single" w:color="auto" w:sz="4"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adjustRightInd w:val="0"/>
              <w:snapToGrid w:val="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p>
          <w:p>
            <w:pPr>
              <w:widowControl/>
              <w:adjustRightInd w:val="0"/>
              <w:snapToGrid w:val="0"/>
              <w:ind w:firstLine="6000" w:firstLineChars="25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（可另附页）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61" w:hRule="atLeast"/>
          <w:jc w:val="center"/>
        </w:trPr>
        <w:tc>
          <w:tcPr>
            <w:tcW w:w="1910" w:type="dxa"/>
            <w:tcBorders>
              <w:top w:val="single" w:color="auto" w:sz="4" w:space="0"/>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县（市、区）</w:t>
            </w:r>
          </w:p>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残联审核意见</w:t>
            </w:r>
          </w:p>
        </w:tc>
        <w:tc>
          <w:tcPr>
            <w:tcW w:w="7703" w:type="dxa"/>
            <w:gridSpan w:val="4"/>
            <w:tcBorders>
              <w:top w:val="single" w:color="auto" w:sz="4" w:space="0"/>
              <w:left w:val="nil"/>
              <w:bottom w:val="single" w:color="auto" w:sz="4" w:space="0"/>
              <w:right w:val="single" w:color="auto" w:sz="6" w:space="0"/>
            </w:tcBorders>
            <w:tcMar>
              <w:top w:w="0" w:type="dxa"/>
              <w:left w:w="60" w:type="dxa"/>
              <w:bottom w:w="0" w:type="dxa"/>
              <w:right w:w="60" w:type="dxa"/>
            </w:tcMar>
            <w:vAlign w:val="center"/>
          </w:tcPr>
          <w:p>
            <w:pPr>
              <w:widowControl/>
              <w:adjustRightInd w:val="0"/>
              <w:snapToGrid w:val="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p>
          <w:p>
            <w:pPr>
              <w:widowControl/>
              <w:adjustRightInd w:val="0"/>
              <w:snapToGrid w:val="0"/>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盖</w:t>
            </w:r>
            <w:r>
              <w:rPr>
                <w:rFonts w:hint="eastAsia"/>
                <w:sz w:val="24"/>
                <w:szCs w:val="24"/>
              </w:rPr>
              <w:t>  </w:t>
            </w:r>
            <w:r>
              <w:rPr>
                <w:rFonts w:hint="eastAsia" w:ascii="仿宋_GB2312" w:hAnsi="仿宋_GB2312" w:eastAsia="仿宋_GB2312" w:cs="仿宋_GB2312"/>
                <w:sz w:val="24"/>
                <w:szCs w:val="24"/>
              </w:rPr>
              <w:t xml:space="preserve"> 章</w:t>
            </w:r>
          </w:p>
          <w:p>
            <w:pPr>
              <w:widowControl/>
              <w:adjustRightInd w:val="0"/>
              <w:snapToGrid w:val="0"/>
              <w:ind w:right="3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w:t>
            </w:r>
            <w:r>
              <w:rPr>
                <w:rFonts w:hint="eastAsia"/>
                <w:sz w:val="24"/>
                <w:szCs w:val="24"/>
              </w:rPr>
              <w:t>  </w:t>
            </w:r>
            <w:r>
              <w:rPr>
                <w:rFonts w:hint="eastAsia" w:ascii="仿宋_GB2312" w:hAnsi="仿宋_GB2312" w:eastAsia="仿宋_GB2312" w:cs="仿宋_GB2312"/>
                <w:sz w:val="24"/>
                <w:szCs w:val="24"/>
              </w:rPr>
              <w:t xml:space="preserve"> 月</w:t>
            </w:r>
            <w:r>
              <w:rPr>
                <w:rFonts w:hint="eastAsia"/>
                <w:sz w:val="24"/>
                <w:szCs w:val="24"/>
              </w:rPr>
              <w:t>  </w:t>
            </w:r>
            <w:r>
              <w:rPr>
                <w:rFonts w:hint="eastAsia" w:ascii="仿宋_GB2312" w:hAnsi="仿宋_GB2312" w:eastAsia="仿宋_GB2312" w:cs="仿宋_GB2312"/>
                <w:sz w:val="24"/>
                <w:szCs w:val="24"/>
              </w:rPr>
              <w:t xml:space="preserve">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71" w:hRule="atLeast"/>
          <w:jc w:val="center"/>
        </w:trPr>
        <w:tc>
          <w:tcPr>
            <w:tcW w:w="1910" w:type="dxa"/>
            <w:tcBorders>
              <w:top w:val="single" w:color="auto" w:sz="4" w:space="0"/>
              <w:left w:val="single" w:color="auto" w:sz="6" w:space="0"/>
              <w:bottom w:val="single" w:color="auto" w:sz="4" w:space="0"/>
              <w:right w:val="single" w:color="auto" w:sz="6" w:space="0"/>
            </w:tcBorders>
            <w:tcMar>
              <w:top w:w="0" w:type="dxa"/>
              <w:left w:w="60" w:type="dxa"/>
              <w:bottom w:w="0" w:type="dxa"/>
              <w:right w:w="60" w:type="dxa"/>
            </w:tcMar>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市（州）残联</w:t>
            </w:r>
          </w:p>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703" w:type="dxa"/>
            <w:gridSpan w:val="4"/>
            <w:tcBorders>
              <w:top w:val="single" w:color="auto" w:sz="4" w:space="0"/>
              <w:left w:val="nil"/>
              <w:bottom w:val="single" w:color="auto" w:sz="4" w:space="0"/>
              <w:right w:val="single" w:color="auto" w:sz="6" w:space="0"/>
            </w:tcBorders>
            <w:tcMar>
              <w:top w:w="0" w:type="dxa"/>
              <w:left w:w="60" w:type="dxa"/>
              <w:bottom w:w="0" w:type="dxa"/>
              <w:right w:w="60" w:type="dxa"/>
            </w:tcMar>
            <w:vAlign w:val="center"/>
          </w:tcPr>
          <w:p>
            <w:pPr>
              <w:widowControl/>
              <w:adjustRightInd w:val="0"/>
              <w:snapToGrid w:val="0"/>
              <w:ind w:firstLine="5880"/>
              <w:rPr>
                <w:rFonts w:ascii="仿宋_GB2312" w:hAnsi="仿宋_GB2312" w:eastAsia="仿宋_GB2312" w:cs="仿宋_GB2312"/>
                <w:sz w:val="24"/>
                <w:szCs w:val="24"/>
              </w:rPr>
            </w:pPr>
          </w:p>
          <w:p>
            <w:pPr>
              <w:widowControl/>
              <w:adjustRightInd w:val="0"/>
              <w:snapToGrid w:val="0"/>
              <w:ind w:firstLine="5880"/>
              <w:rPr>
                <w:rFonts w:ascii="仿宋_GB2312" w:hAnsi="仿宋_GB2312" w:eastAsia="仿宋_GB2312" w:cs="仿宋_GB2312"/>
                <w:sz w:val="24"/>
                <w:szCs w:val="24"/>
              </w:rPr>
            </w:pPr>
          </w:p>
          <w:p>
            <w:pPr>
              <w:widowControl/>
              <w:adjustRightInd w:val="0"/>
              <w:snapToGrid w:val="0"/>
              <w:ind w:firstLine="588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p>
          <w:p>
            <w:pPr>
              <w:widowControl/>
              <w:adjustRightInd w:val="0"/>
              <w:snapToGrid w:val="0"/>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盖</w:t>
            </w:r>
            <w:r>
              <w:rPr>
                <w:rFonts w:hint="eastAsia"/>
                <w:sz w:val="24"/>
                <w:szCs w:val="24"/>
              </w:rPr>
              <w:t>  </w:t>
            </w:r>
            <w:r>
              <w:rPr>
                <w:rFonts w:hint="eastAsia" w:ascii="仿宋_GB2312" w:hAnsi="仿宋_GB2312" w:eastAsia="仿宋_GB2312" w:cs="仿宋_GB2312"/>
                <w:sz w:val="24"/>
                <w:szCs w:val="24"/>
              </w:rPr>
              <w:t xml:space="preserve"> 章</w:t>
            </w:r>
          </w:p>
          <w:p>
            <w:pPr>
              <w:widowControl/>
              <w:adjustRightInd w:val="0"/>
              <w:snapToGrid w:val="0"/>
              <w:ind w:left="5564" w:leftChars="2364" w:hanging="600" w:hangingChars="2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w:t>
            </w:r>
            <w:r>
              <w:rPr>
                <w:rFonts w:hint="eastAsia"/>
                <w:sz w:val="24"/>
                <w:szCs w:val="24"/>
              </w:rPr>
              <w:t>  </w:t>
            </w:r>
            <w:r>
              <w:rPr>
                <w:rFonts w:hint="eastAsia" w:ascii="仿宋_GB2312" w:hAnsi="仿宋_GB2312" w:eastAsia="仿宋_GB2312" w:cs="仿宋_GB2312"/>
                <w:sz w:val="24"/>
                <w:szCs w:val="24"/>
              </w:rPr>
              <w:t xml:space="preserve"> 月</w:t>
            </w:r>
            <w:r>
              <w:rPr>
                <w:rFonts w:hint="eastAsia"/>
                <w:sz w:val="24"/>
                <w:szCs w:val="24"/>
              </w:rPr>
              <w:t>  </w:t>
            </w:r>
            <w:r>
              <w:rPr>
                <w:rFonts w:hint="eastAsia" w:ascii="仿宋_GB2312" w:hAnsi="仿宋_GB2312" w:eastAsia="仿宋_GB2312" w:cs="仿宋_GB2312"/>
                <w:sz w:val="24"/>
                <w:szCs w:val="24"/>
              </w:rPr>
              <w:t xml:space="preserve">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33" w:hRule="atLeast"/>
          <w:jc w:val="center"/>
        </w:trPr>
        <w:tc>
          <w:tcPr>
            <w:tcW w:w="1910" w:type="dxa"/>
            <w:tcBorders>
              <w:top w:val="single" w:color="auto" w:sz="4" w:space="0"/>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tabs>
                <w:tab w:val="left" w:pos="521"/>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省残联</w:t>
            </w:r>
          </w:p>
          <w:p>
            <w:pPr>
              <w:widowControl/>
              <w:tabs>
                <w:tab w:val="left" w:pos="521"/>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703" w:type="dxa"/>
            <w:gridSpan w:val="4"/>
            <w:tcBorders>
              <w:top w:val="single" w:color="auto" w:sz="4" w:space="0"/>
              <w:left w:val="nil"/>
              <w:bottom w:val="single" w:color="auto" w:sz="6" w:space="0"/>
              <w:right w:val="single" w:color="auto" w:sz="6" w:space="0"/>
            </w:tcBorders>
            <w:tcMar>
              <w:top w:w="0" w:type="dxa"/>
              <w:left w:w="60" w:type="dxa"/>
              <w:bottom w:w="0" w:type="dxa"/>
              <w:right w:w="60" w:type="dxa"/>
            </w:tcMar>
            <w:vAlign w:val="center"/>
          </w:tcPr>
          <w:p>
            <w:pPr>
              <w:widowControl/>
              <w:adjustRightInd w:val="0"/>
              <w:snapToGrid w:val="0"/>
              <w:ind w:firstLine="5880"/>
              <w:rPr>
                <w:rFonts w:ascii="仿宋_GB2312" w:hAnsi="仿宋_GB2312" w:eastAsia="仿宋_GB2312" w:cs="仿宋_GB2312"/>
                <w:sz w:val="24"/>
                <w:szCs w:val="24"/>
              </w:rPr>
            </w:pPr>
          </w:p>
          <w:p>
            <w:pPr>
              <w:widowControl/>
              <w:adjustRightInd w:val="0"/>
              <w:snapToGrid w:val="0"/>
              <w:ind w:firstLine="588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p>
          <w:p>
            <w:pPr>
              <w:widowControl/>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盖</w:t>
            </w:r>
            <w:r>
              <w:rPr>
                <w:rFonts w:hint="eastAsia"/>
                <w:sz w:val="24"/>
                <w:szCs w:val="24"/>
              </w:rPr>
              <w:t>  </w:t>
            </w:r>
            <w:r>
              <w:rPr>
                <w:rFonts w:hint="eastAsia" w:ascii="仿宋_GB2312" w:hAnsi="仿宋_GB2312" w:eastAsia="仿宋_GB2312" w:cs="仿宋_GB2312"/>
                <w:sz w:val="24"/>
                <w:szCs w:val="24"/>
              </w:rPr>
              <w:t xml:space="preserve"> 章</w:t>
            </w:r>
          </w:p>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w:t>
            </w:r>
            <w:r>
              <w:rPr>
                <w:rFonts w:hint="eastAsia"/>
                <w:sz w:val="24"/>
                <w:szCs w:val="24"/>
              </w:rPr>
              <w:t>  </w:t>
            </w:r>
            <w:r>
              <w:rPr>
                <w:rFonts w:hint="eastAsia" w:ascii="仿宋_GB2312" w:hAnsi="仿宋_GB2312" w:eastAsia="仿宋_GB2312" w:cs="仿宋_GB2312"/>
                <w:sz w:val="24"/>
                <w:szCs w:val="24"/>
              </w:rPr>
              <w:t xml:space="preserve"> 月</w:t>
            </w:r>
            <w:r>
              <w:rPr>
                <w:rFonts w:hint="eastAsia"/>
                <w:sz w:val="24"/>
                <w:szCs w:val="24"/>
              </w:rPr>
              <w:t>  </w:t>
            </w:r>
            <w:r>
              <w:rPr>
                <w:rFonts w:hint="eastAsia" w:ascii="仿宋_GB2312" w:hAnsi="仿宋_GB2312" w:eastAsia="仿宋_GB2312" w:cs="仿宋_GB2312"/>
                <w:sz w:val="24"/>
                <w:szCs w:val="24"/>
              </w:rPr>
              <w:t xml:space="preserve"> 日</w:t>
            </w:r>
          </w:p>
        </w:tc>
      </w:tr>
    </w:tbl>
    <w:p>
      <w:pPr>
        <w:ind w:right="-57"/>
        <w:rPr>
          <w:b/>
          <w:bCs/>
        </w:rPr>
      </w:pPr>
      <w:r>
        <w:rPr>
          <w:rFonts w:hint="eastAsia" w:ascii="仿宋_GB2312" w:eastAsia="仿宋_GB2312"/>
          <w:szCs w:val="21"/>
        </w:rPr>
        <w:t>填表说明：1.此表由辅助器具适配定点服务机构填写，向</w:t>
      </w:r>
      <w:r>
        <w:rPr>
          <w:rFonts w:hint="eastAsia" w:ascii="仿宋_GB2312" w:eastAsia="仿宋_GB2312"/>
          <w:color w:val="auto"/>
          <w:szCs w:val="21"/>
        </w:rPr>
        <w:t>当地</w:t>
      </w:r>
      <w:r>
        <w:rPr>
          <w:rFonts w:hint="eastAsia" w:ascii="仿宋_GB2312" w:eastAsia="仿宋_GB2312"/>
          <w:szCs w:val="21"/>
        </w:rPr>
        <w:t>残联提出申请。2.“机构简介”栏应据实填写机构信息、申报理由。3.县级定点服务机构的认定，由县级残联会同相关部门及专家进行遴选审定，报市级残联审核备案。省级、市级定点服务机构分别由省、市级残联会同相关部门择优选择。</w:t>
      </w: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rPr>
          <w:sz w:val="20"/>
          <w:szCs w:val="32"/>
        </w:rPr>
      </w:pPr>
    </w:p>
    <w:p>
      <w:pPr>
        <w:tabs>
          <w:tab w:val="left" w:pos="6094"/>
        </w:tabs>
        <w:spacing w:before="124"/>
        <w:rPr>
          <w:sz w:val="28"/>
        </w:rPr>
      </w:pPr>
    </w:p>
    <w:p>
      <w:pPr>
        <w:tabs>
          <w:tab w:val="left" w:pos="6094"/>
        </w:tabs>
        <w:spacing w:before="124"/>
        <w:rPr>
          <w:sz w:val="28"/>
        </w:rPr>
      </w:pPr>
    </w:p>
    <w:p>
      <w:pPr>
        <w:tabs>
          <w:tab w:val="left" w:pos="6094"/>
        </w:tabs>
        <w:spacing w:before="124"/>
        <w:rPr>
          <w:sz w:val="28"/>
        </w:rPr>
      </w:pPr>
    </w:p>
    <w:tbl>
      <w:tblPr>
        <w:tblStyle w:val="7"/>
        <w:tblpPr w:leftFromText="180" w:rightFromText="180" w:vertAnchor="text" w:horzAnchor="margin" w:tblpXSpec="center" w:tblpY="449"/>
        <w:tblW w:w="906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210" w:type="dxa"/>
          <w:bottom w:w="0" w:type="dxa"/>
          <w:right w:w="210"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10" w:type="dxa"/>
            <w:bottom w:w="0" w:type="dxa"/>
            <w:right w:w="210" w:type="dxa"/>
          </w:tblCellMar>
        </w:tblPrEx>
        <w:trPr>
          <w:trHeight w:val="698" w:hRule="atLeast"/>
          <w:jc w:val="center"/>
        </w:trPr>
        <w:tc>
          <w:tcPr>
            <w:tcW w:w="9060" w:type="dxa"/>
            <w:vAlign w:val="center"/>
          </w:tcPr>
          <w:p>
            <w:pPr>
              <w:spacing w:line="560" w:lineRule="exact"/>
              <w:jc w:val="center"/>
              <w:rPr>
                <w:rFonts w:ascii="仿宋_GB2312" w:eastAsia="仿宋_GB2312"/>
                <w:sz w:val="30"/>
                <w:szCs w:val="30"/>
              </w:rPr>
            </w:pPr>
            <w:r>
              <w:rPr>
                <w:rFonts w:hint="eastAsia" w:ascii="仿宋_GB2312" w:eastAsia="仿宋_GB2312"/>
                <w:sz w:val="32"/>
                <w:szCs w:val="32"/>
              </w:rPr>
              <w:t>湖南省残疾人联合会办公室          2021年</w:t>
            </w:r>
            <w:r>
              <w:rPr>
                <w:rFonts w:hint="default" w:ascii="仿宋_GB2312" w:eastAsia="仿宋_GB2312"/>
                <w:sz w:val="32"/>
                <w:szCs w:val="32"/>
              </w:rPr>
              <w:t>10</w:t>
            </w:r>
            <w:r>
              <w:rPr>
                <w:rFonts w:hint="eastAsia" w:ascii="仿宋_GB2312" w:eastAsia="仿宋_GB2312"/>
                <w:sz w:val="32"/>
                <w:szCs w:val="32"/>
              </w:rPr>
              <w:t>月</w:t>
            </w:r>
            <w:r>
              <w:rPr>
                <w:rFonts w:hint="default" w:ascii="仿宋_GB2312" w:eastAsia="仿宋_GB2312"/>
                <w:sz w:val="32"/>
                <w:szCs w:val="32"/>
              </w:rPr>
              <w:t>26</w:t>
            </w:r>
            <w:r>
              <w:rPr>
                <w:rFonts w:hint="eastAsia" w:ascii="仿宋_GB2312" w:eastAsia="仿宋_GB2312"/>
                <w:sz w:val="32"/>
                <w:szCs w:val="32"/>
              </w:rPr>
              <w:t>日印发</w:t>
            </w:r>
          </w:p>
        </w:tc>
      </w:tr>
    </w:tbl>
    <w:p>
      <w:pPr>
        <w:tabs>
          <w:tab w:val="left" w:pos="6094"/>
        </w:tabs>
        <w:spacing w:before="124" w:line="20" w:lineRule="exact"/>
        <w:rPr>
          <w:sz w:val="28"/>
        </w:rPr>
      </w:pPr>
    </w:p>
    <w:sectPr>
      <w:footerReference r:id="rId5" w:type="default"/>
      <w:type w:val="continuous"/>
      <w:pgSz w:w="11910" w:h="16840"/>
      <w:pgMar w:top="1871" w:right="1474" w:bottom="1757" w:left="1587" w:header="0" w:footer="1515"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82270" cy="19748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382270" cy="197485"/>
                      </a:xfrm>
                      <a:prstGeom prst="rect">
                        <a:avLst/>
                      </a:prstGeom>
                      <a:noFill/>
                      <a:ln>
                        <a:noFill/>
                      </a:ln>
                      <a:effectLst/>
                    </wps:spPr>
                    <wps:txbx>
                      <w:txbxContent>
                        <w:p>
                          <w:pPr>
                            <w:pStyle w:val="3"/>
                            <w:rPr>
                              <w:sz w:val="24"/>
                              <w:szCs w:val="36"/>
                            </w:rPr>
                          </w:pPr>
                          <w:r>
                            <w:rPr>
                              <w:rFonts w:hint="eastAsia"/>
                              <w:sz w:val="24"/>
                              <w:szCs w:val="36"/>
                            </w:rPr>
                            <w:t>—</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15</w:t>
                          </w:r>
                          <w:r>
                            <w:rPr>
                              <w:sz w:val="24"/>
                              <w:szCs w:val="36"/>
                            </w:rPr>
                            <w:fldChar w:fldCharType="end"/>
                          </w:r>
                          <w:r>
                            <w:rPr>
                              <w:rFonts w:hint="eastAsia"/>
                              <w:sz w:val="24"/>
                              <w:szCs w:val="36"/>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0.1pt;mso-position-horizontal:outside;mso-position-horizontal-relative:margin;mso-wrap-style:none;z-index:251660288;mso-width-relative:page;mso-height-relative:page;" filled="f" stroked="f" coordsize="21600,21600" o:gfxdata="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6aQmLRAAAAAwEAAA8AAAAAAAAAAQAgAAAAOAAAAGRycy9kb3ducmV2&#10;LnhtbFBLAQIUABQAAAAIAIdO4kBSGGwftAEAAE4DAAAOAAAAAAAAAAEAIAAAADYBAABkcnMvZTJv&#10;RG9jLnhtbFBLBQYAAAAABgAGAFkBAABcBQAAAAA=&#10;">
              <v:fill on="f" focussize="0,0"/>
              <v:stroke on="f"/>
              <v:imagedata o:title=""/>
              <o:lock v:ext="edit" aspectratio="f"/>
              <v:textbox inset="0mm,0mm,0mm,0mm" style="mso-fit-shape-to-text:t;">
                <w:txbxContent>
                  <w:p>
                    <w:pPr>
                      <w:pStyle w:val="3"/>
                      <w:rPr>
                        <w:sz w:val="24"/>
                        <w:szCs w:val="36"/>
                      </w:rPr>
                    </w:pPr>
                    <w:r>
                      <w:rPr>
                        <w:rFonts w:hint="eastAsia"/>
                        <w:sz w:val="24"/>
                        <w:szCs w:val="36"/>
                      </w:rPr>
                      <w:t>—</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15</w:t>
                    </w:r>
                    <w:r>
                      <w:rPr>
                        <w:sz w:val="24"/>
                        <w:szCs w:val="36"/>
                      </w:rPr>
                      <w:fldChar w:fldCharType="end"/>
                    </w:r>
                    <w:r>
                      <w:rPr>
                        <w:rFonts w:hint="eastAsia"/>
                        <w:sz w:val="24"/>
                        <w:szCs w:val="36"/>
                      </w:rPr>
                      <w:t>—</w:t>
                    </w:r>
                  </w:p>
                </w:txbxContent>
              </v:textbox>
            </v:shape>
          </w:pict>
        </mc:Fallback>
      </mc:AlternateContent>
    </w:r>
    <w:sdt>
      <w:sdtPr>
        <w:id w:val="1627738919"/>
      </w:sdtPr>
      <w:sdtEndPr>
        <w:rPr>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7612928"/>
    </w:sdtPr>
    <w:sdtEndPr>
      <w:rPr>
        <w:sz w:val="28"/>
        <w:szCs w:val="28"/>
      </w:rPr>
    </w:sdtEndPr>
    <w:sdtContent>
      <w:p>
        <w:pPr>
          <w:pStyle w:val="3"/>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9740" cy="197485"/>
              <wp:effectExtent l="0" t="0" r="0" b="0"/>
              <wp:wrapNone/>
              <wp:docPr id="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459740" cy="197485"/>
                      </a:xfrm>
                      <a:prstGeom prst="rect">
                        <a:avLst/>
                      </a:prstGeom>
                      <a:noFill/>
                      <a:ln>
                        <a:noFill/>
                      </a:ln>
                      <a:effectLst/>
                    </wps:spPr>
                    <wps:txbx>
                      <w:txbxContent>
                        <w:p>
                          <w:pPr>
                            <w:pStyle w:val="3"/>
                          </w:pPr>
                          <w:r>
                            <w:rPr>
                              <w:rFonts w:hint="eastAsia"/>
                              <w:sz w:val="24"/>
                              <w:szCs w:val="36"/>
                            </w:rPr>
                            <w:t>—</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19</w:t>
                          </w:r>
                          <w:r>
                            <w:rPr>
                              <w:sz w:val="24"/>
                              <w:szCs w:val="36"/>
                            </w:rPr>
                            <w:fldChar w:fldCharType="end"/>
                          </w:r>
                          <w:r>
                            <w:rPr>
                              <w:rFonts w:hint="eastAsia"/>
                              <w:sz w:val="24"/>
                              <w:szCs w:val="36"/>
                            </w:rPr>
                            <w:t>—</w:t>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5.55pt;width:36.2pt;mso-position-horizontal:outside;mso-position-horizontal-relative:margin;mso-wrap-style:none;z-index:251659264;mso-width-relative:page;mso-height-relative:page;" filled="f" stroked="f" coordsize="21600,21600" o:gfxdata="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R3vtIAAAADAQAADwAAAAAAAAABACAAAAA4AAAAZHJzL2Rvd25yZXYueG1s&#10;UEsBAhQAFAAAAAgAh07iQGQcQRPoAQAAzgMAAA4AAAAAAAAAAQAgAAAANwEAAGRycy9lMm9Eb2Mu&#10;eG1sUEsFBgAAAAAGAAYAWQEAAJEFAAAAAA==&#10;">
              <v:fill on="f" focussize="0,0"/>
              <v:stroke on="f"/>
              <v:imagedata o:title=""/>
              <o:lock v:ext="edit" aspectratio="f"/>
              <v:textbox inset="0mm,0mm,0mm,0mm" style="mso-fit-shape-to-text:t;">
                <w:txbxContent>
                  <w:p>
                    <w:pPr>
                      <w:pStyle w:val="3"/>
                    </w:pPr>
                    <w:r>
                      <w:rPr>
                        <w:rFonts w:hint="eastAsia"/>
                        <w:sz w:val="24"/>
                        <w:szCs w:val="36"/>
                      </w:rPr>
                      <w:t>—</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19</w:t>
                    </w:r>
                    <w:r>
                      <w:rPr>
                        <w:sz w:val="24"/>
                        <w:szCs w:val="36"/>
                      </w:rPr>
                      <w:fldChar w:fldCharType="end"/>
                    </w:r>
                    <w:r>
                      <w:rPr>
                        <w:rFonts w:hint="eastAsia"/>
                        <w:sz w:val="24"/>
                        <w:szCs w:val="36"/>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FE757"/>
    <w:multiLevelType w:val="singleLevel"/>
    <w:tmpl w:val="7BDFE7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B3"/>
    <w:rsid w:val="000007FA"/>
    <w:rsid w:val="00023EC0"/>
    <w:rsid w:val="00040C9D"/>
    <w:rsid w:val="00096C05"/>
    <w:rsid w:val="000B36C9"/>
    <w:rsid w:val="000B4AB1"/>
    <w:rsid w:val="000C61E5"/>
    <w:rsid w:val="00113B34"/>
    <w:rsid w:val="00126E14"/>
    <w:rsid w:val="0013790D"/>
    <w:rsid w:val="00154706"/>
    <w:rsid w:val="00235940"/>
    <w:rsid w:val="00263DDE"/>
    <w:rsid w:val="002B63C6"/>
    <w:rsid w:val="0032564B"/>
    <w:rsid w:val="0034544E"/>
    <w:rsid w:val="00350EB3"/>
    <w:rsid w:val="00391409"/>
    <w:rsid w:val="003A4AF5"/>
    <w:rsid w:val="003D3757"/>
    <w:rsid w:val="003D7BD0"/>
    <w:rsid w:val="003E699A"/>
    <w:rsid w:val="004158B1"/>
    <w:rsid w:val="004420D4"/>
    <w:rsid w:val="004B1E85"/>
    <w:rsid w:val="004F36F9"/>
    <w:rsid w:val="00540A7E"/>
    <w:rsid w:val="005513FD"/>
    <w:rsid w:val="00553D80"/>
    <w:rsid w:val="00565457"/>
    <w:rsid w:val="005D7924"/>
    <w:rsid w:val="006336BF"/>
    <w:rsid w:val="006A56B5"/>
    <w:rsid w:val="006D6CD7"/>
    <w:rsid w:val="00720C37"/>
    <w:rsid w:val="00737EA1"/>
    <w:rsid w:val="007969B4"/>
    <w:rsid w:val="007C7556"/>
    <w:rsid w:val="008378EE"/>
    <w:rsid w:val="008B649F"/>
    <w:rsid w:val="008F5C17"/>
    <w:rsid w:val="00920B35"/>
    <w:rsid w:val="0092735F"/>
    <w:rsid w:val="009412C4"/>
    <w:rsid w:val="00945F0B"/>
    <w:rsid w:val="00947362"/>
    <w:rsid w:val="00970A2A"/>
    <w:rsid w:val="009842DB"/>
    <w:rsid w:val="009C6A26"/>
    <w:rsid w:val="00A14E60"/>
    <w:rsid w:val="00A43BE5"/>
    <w:rsid w:val="00A46737"/>
    <w:rsid w:val="00A47902"/>
    <w:rsid w:val="00A55709"/>
    <w:rsid w:val="00AD0E30"/>
    <w:rsid w:val="00AD2FD9"/>
    <w:rsid w:val="00AF7476"/>
    <w:rsid w:val="00B57786"/>
    <w:rsid w:val="00B74067"/>
    <w:rsid w:val="00BD3773"/>
    <w:rsid w:val="00C76002"/>
    <w:rsid w:val="00CB073E"/>
    <w:rsid w:val="00CF769E"/>
    <w:rsid w:val="00D24400"/>
    <w:rsid w:val="00D61976"/>
    <w:rsid w:val="00D83C4F"/>
    <w:rsid w:val="00DA7113"/>
    <w:rsid w:val="00DC7CB4"/>
    <w:rsid w:val="00DD4776"/>
    <w:rsid w:val="00E60014"/>
    <w:rsid w:val="00EE1307"/>
    <w:rsid w:val="00FC4E4E"/>
    <w:rsid w:val="01FC1AE1"/>
    <w:rsid w:val="060466D2"/>
    <w:rsid w:val="0ABF1ABA"/>
    <w:rsid w:val="15E75A1F"/>
    <w:rsid w:val="191B460A"/>
    <w:rsid w:val="19983CED"/>
    <w:rsid w:val="1F74C5BB"/>
    <w:rsid w:val="20D5163D"/>
    <w:rsid w:val="242D4D52"/>
    <w:rsid w:val="264F7FD4"/>
    <w:rsid w:val="27B41081"/>
    <w:rsid w:val="2D0206EE"/>
    <w:rsid w:val="2D070ABA"/>
    <w:rsid w:val="2DDA83B0"/>
    <w:rsid w:val="2DEA4DA4"/>
    <w:rsid w:val="2FFD5BBC"/>
    <w:rsid w:val="3216625D"/>
    <w:rsid w:val="32D470CD"/>
    <w:rsid w:val="34101629"/>
    <w:rsid w:val="36CB55F2"/>
    <w:rsid w:val="375F3723"/>
    <w:rsid w:val="3847526C"/>
    <w:rsid w:val="3D031024"/>
    <w:rsid w:val="3E7BC4FE"/>
    <w:rsid w:val="3EBF4EAB"/>
    <w:rsid w:val="3EEA43B3"/>
    <w:rsid w:val="3F5F5CDE"/>
    <w:rsid w:val="3F7F1AF2"/>
    <w:rsid w:val="3FE93395"/>
    <w:rsid w:val="3FEE86E0"/>
    <w:rsid w:val="435959E8"/>
    <w:rsid w:val="4940669A"/>
    <w:rsid w:val="4AA57636"/>
    <w:rsid w:val="4B617DD8"/>
    <w:rsid w:val="4C9329EF"/>
    <w:rsid w:val="4F3791D7"/>
    <w:rsid w:val="53EC5A9F"/>
    <w:rsid w:val="54986350"/>
    <w:rsid w:val="564F50AE"/>
    <w:rsid w:val="5B1963FD"/>
    <w:rsid w:val="5B5F6F45"/>
    <w:rsid w:val="5C5E54EC"/>
    <w:rsid w:val="5CB6C0CD"/>
    <w:rsid w:val="5CE749A2"/>
    <w:rsid w:val="5DFF25FF"/>
    <w:rsid w:val="5F3BC895"/>
    <w:rsid w:val="5F5B9238"/>
    <w:rsid w:val="5FCE37B3"/>
    <w:rsid w:val="5FFF5E0D"/>
    <w:rsid w:val="60082476"/>
    <w:rsid w:val="65E77ED5"/>
    <w:rsid w:val="660F784A"/>
    <w:rsid w:val="67ABA2E8"/>
    <w:rsid w:val="67C30443"/>
    <w:rsid w:val="67FB841A"/>
    <w:rsid w:val="69FF8FDA"/>
    <w:rsid w:val="6C2BDE1B"/>
    <w:rsid w:val="6EFF60F2"/>
    <w:rsid w:val="6F677C50"/>
    <w:rsid w:val="6FBCA88E"/>
    <w:rsid w:val="6FBF652B"/>
    <w:rsid w:val="6FDB95EC"/>
    <w:rsid w:val="6FEEDEE4"/>
    <w:rsid w:val="6FF9161D"/>
    <w:rsid w:val="6FFD26E2"/>
    <w:rsid w:val="73BE1D40"/>
    <w:rsid w:val="73CA1918"/>
    <w:rsid w:val="775D9A98"/>
    <w:rsid w:val="777FE6C0"/>
    <w:rsid w:val="77B7D398"/>
    <w:rsid w:val="77BB4806"/>
    <w:rsid w:val="77DA0EE0"/>
    <w:rsid w:val="78DA98B4"/>
    <w:rsid w:val="794F7A08"/>
    <w:rsid w:val="79AED3B5"/>
    <w:rsid w:val="79DAA3C5"/>
    <w:rsid w:val="79FCA549"/>
    <w:rsid w:val="7AE782DF"/>
    <w:rsid w:val="7B3D8031"/>
    <w:rsid w:val="7BC76AF8"/>
    <w:rsid w:val="7BEC5C4D"/>
    <w:rsid w:val="7CFF9B77"/>
    <w:rsid w:val="7D397522"/>
    <w:rsid w:val="7D53F597"/>
    <w:rsid w:val="7D72D8E6"/>
    <w:rsid w:val="7DE347BA"/>
    <w:rsid w:val="7DF74D11"/>
    <w:rsid w:val="7EDFB3B1"/>
    <w:rsid w:val="7EED2B0B"/>
    <w:rsid w:val="7EFAE003"/>
    <w:rsid w:val="7F1E5E82"/>
    <w:rsid w:val="7F3F8509"/>
    <w:rsid w:val="7F6F5CDC"/>
    <w:rsid w:val="7F964ACF"/>
    <w:rsid w:val="7FAF8FDB"/>
    <w:rsid w:val="7FB713CB"/>
    <w:rsid w:val="7FB9197A"/>
    <w:rsid w:val="7FBD264E"/>
    <w:rsid w:val="7FBD2B37"/>
    <w:rsid w:val="7FD94117"/>
    <w:rsid w:val="7FE3B357"/>
    <w:rsid w:val="7FE758DE"/>
    <w:rsid w:val="7FF7BE36"/>
    <w:rsid w:val="7FF94345"/>
    <w:rsid w:val="7FFB5233"/>
    <w:rsid w:val="86FF2EC2"/>
    <w:rsid w:val="89E9FFD3"/>
    <w:rsid w:val="8FFFAA7A"/>
    <w:rsid w:val="93FC9ED9"/>
    <w:rsid w:val="963BC363"/>
    <w:rsid w:val="9E884887"/>
    <w:rsid w:val="9FDF90AC"/>
    <w:rsid w:val="ABFE1D32"/>
    <w:rsid w:val="AD9732D0"/>
    <w:rsid w:val="AF4D25DD"/>
    <w:rsid w:val="AF787717"/>
    <w:rsid w:val="B3DC3BFA"/>
    <w:rsid w:val="B77662EF"/>
    <w:rsid w:val="BA5A14B5"/>
    <w:rsid w:val="BBEF8B83"/>
    <w:rsid w:val="BBF8C12E"/>
    <w:rsid w:val="BDB39AE6"/>
    <w:rsid w:val="BDFD936B"/>
    <w:rsid w:val="BFB7056C"/>
    <w:rsid w:val="C7DE0FEB"/>
    <w:rsid w:val="CB360D71"/>
    <w:rsid w:val="CFB70652"/>
    <w:rsid w:val="D3DFBA9E"/>
    <w:rsid w:val="D76B6E1A"/>
    <w:rsid w:val="D7FF15DF"/>
    <w:rsid w:val="D87FFDFA"/>
    <w:rsid w:val="DADA71BC"/>
    <w:rsid w:val="DCFB07C8"/>
    <w:rsid w:val="DDBB2E33"/>
    <w:rsid w:val="DE7F1891"/>
    <w:rsid w:val="DEB951E6"/>
    <w:rsid w:val="DEBD3F55"/>
    <w:rsid w:val="DF6FB7FD"/>
    <w:rsid w:val="DF77002E"/>
    <w:rsid w:val="DFBF465D"/>
    <w:rsid w:val="DFDF6EBB"/>
    <w:rsid w:val="E33F6679"/>
    <w:rsid w:val="E3FB2A18"/>
    <w:rsid w:val="E6D45EE6"/>
    <w:rsid w:val="EB7FB8CF"/>
    <w:rsid w:val="ED2D8C2E"/>
    <w:rsid w:val="ED7F40FD"/>
    <w:rsid w:val="EDBF2E14"/>
    <w:rsid w:val="EDFF9F87"/>
    <w:rsid w:val="EEEF2145"/>
    <w:rsid w:val="EEFF357A"/>
    <w:rsid w:val="EF8756A5"/>
    <w:rsid w:val="EFBFAA98"/>
    <w:rsid w:val="EFDF05FA"/>
    <w:rsid w:val="EFF7B37C"/>
    <w:rsid w:val="EFFA3933"/>
    <w:rsid w:val="F1D91E14"/>
    <w:rsid w:val="F3EDE580"/>
    <w:rsid w:val="F3FA0D67"/>
    <w:rsid w:val="F53F112A"/>
    <w:rsid w:val="F62D1FC7"/>
    <w:rsid w:val="F7538E33"/>
    <w:rsid w:val="F77EC594"/>
    <w:rsid w:val="F7AF7080"/>
    <w:rsid w:val="F7EF3DF7"/>
    <w:rsid w:val="F7F94AB8"/>
    <w:rsid w:val="F9ED1E51"/>
    <w:rsid w:val="F9FC0165"/>
    <w:rsid w:val="F9FD25D4"/>
    <w:rsid w:val="FB7F8D56"/>
    <w:rsid w:val="FBB50597"/>
    <w:rsid w:val="FBDFF946"/>
    <w:rsid w:val="FBFF78AC"/>
    <w:rsid w:val="FD7DC81C"/>
    <w:rsid w:val="FDBA9691"/>
    <w:rsid w:val="FDECFE47"/>
    <w:rsid w:val="FDFB0492"/>
    <w:rsid w:val="FEBEA0D4"/>
    <w:rsid w:val="FF1BAF97"/>
    <w:rsid w:val="FF7E82C3"/>
    <w:rsid w:val="FF9E2539"/>
    <w:rsid w:val="FFAD0D77"/>
    <w:rsid w:val="FFAF30AD"/>
    <w:rsid w:val="FFC7EA8A"/>
    <w:rsid w:val="FFE3E294"/>
    <w:rsid w:val="FFEBE3E0"/>
    <w:rsid w:val="FFEE57FE"/>
    <w:rsid w:val="FFEF12D6"/>
    <w:rsid w:val="FFF5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font41"/>
    <w:basedOn w:val="8"/>
    <w:qFormat/>
    <w:uiPriority w:val="0"/>
    <w:rPr>
      <w:rFonts w:hint="eastAsia" w:ascii="黑体" w:hAnsi="宋体" w:eastAsia="黑体" w:cs="黑体"/>
      <w:color w:val="000000"/>
      <w:sz w:val="22"/>
      <w:szCs w:val="22"/>
      <w:u w:val="single"/>
    </w:rPr>
  </w:style>
  <w:style w:type="character" w:customStyle="1" w:styleId="11">
    <w:name w:val="font21"/>
    <w:basedOn w:val="8"/>
    <w:qFormat/>
    <w:uiPriority w:val="0"/>
    <w:rPr>
      <w:rFonts w:hint="eastAsia" w:ascii="黑体" w:hAnsi="宋体" w:eastAsia="黑体" w:cs="黑体"/>
      <w:color w:val="000000"/>
      <w:sz w:val="22"/>
      <w:szCs w:val="22"/>
      <w:u w:val="none"/>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 w:type="table" w:customStyle="1" w:styleId="13">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8593</Words>
  <Characters>1159</Characters>
  <Lines>9</Lines>
  <Paragraphs>19</Paragraphs>
  <TotalTime>187</TotalTime>
  <ScaleCrop>false</ScaleCrop>
  <LinksUpToDate>false</LinksUpToDate>
  <CharactersWithSpaces>9733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2021-08-12T17:15:00Z</dcterms:created>
  <dc:creator>lenovo</dc:creator>
  <cp:lastModifiedBy>greatwall</cp:lastModifiedBy>
  <cp:lastPrinted>2021-10-13T00:05:00Z</cp:lastPrinted>
  <dcterms:modified xsi:type="dcterms:W3CDTF">2021-11-11T16:56:53Z</dcterms:modified>
  <dc:title>HNPR-2021-50001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4B18DBD5AC29471FBC5FDFBDAD0A1875</vt:lpwstr>
  </property>
</Properties>
</file>