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44BC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附件</w:t>
      </w:r>
    </w:p>
    <w:p w14:paraId="244EC3D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《中华人民共和国突发公共卫生事件应对法》等4部法律中保护残疾人权益的具体规定</w:t>
      </w:r>
    </w:p>
    <w:p w14:paraId="087D7ED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《中华人民共和国突发公共卫生事件应对法》</w:t>
      </w:r>
      <w:r>
        <w:rPr>
          <w:rFonts w:hint="eastAsia" w:ascii="仿宋" w:hAnsi="仿宋" w:eastAsia="仿宋" w:cs="仿宋"/>
          <w:sz w:val="32"/>
          <w:szCs w:val="32"/>
          <w:lang w:val="en-US" w:eastAsia="zh-CN"/>
        </w:rPr>
        <w:t>第二十条规定：“下列单位应当评估本单位发生突发公共卫生事件的风险，针对可能发生的突发公共卫生事件，制定相应的应急预案，并组织开展演练：（一）医疗卫生机构；（二）学校、托育机构；（三）养老机构、</w:t>
      </w:r>
      <w:r>
        <w:rPr>
          <w:rFonts w:hint="eastAsia" w:ascii="仿宋" w:hAnsi="仿宋" w:eastAsia="仿宋" w:cs="仿宋"/>
          <w:b/>
          <w:bCs/>
          <w:sz w:val="32"/>
          <w:szCs w:val="32"/>
          <w:lang w:val="en-US" w:eastAsia="zh-CN"/>
        </w:rPr>
        <w:t>康复机构</w:t>
      </w:r>
      <w:r>
        <w:rPr>
          <w:rFonts w:hint="eastAsia" w:ascii="仿宋" w:hAnsi="仿宋" w:eastAsia="仿宋" w:cs="仿宋"/>
          <w:sz w:val="32"/>
          <w:szCs w:val="32"/>
          <w:lang w:val="en-US" w:eastAsia="zh-CN"/>
        </w:rPr>
        <w:t>、福利机构、未成年人救助保护机构、救助管理机构……”。第四十六条规定：“突发公共卫生事件应急处置期间，县级以上地方人民政府应当采取措施维持社会基本运行，保障食品、饮用水等基本生活必需品的供应，提供基本医疗服务；对未成年人、老年人、</w:t>
      </w:r>
      <w:r>
        <w:rPr>
          <w:rFonts w:hint="eastAsia" w:ascii="仿宋" w:hAnsi="仿宋" w:eastAsia="仿宋" w:cs="仿宋"/>
          <w:b/>
          <w:bCs/>
          <w:sz w:val="32"/>
          <w:szCs w:val="32"/>
          <w:lang w:val="en-US" w:eastAsia="zh-CN"/>
        </w:rPr>
        <w:t>残疾人</w:t>
      </w:r>
      <w:r>
        <w:rPr>
          <w:rFonts w:hint="eastAsia" w:ascii="仿宋" w:hAnsi="仿宋" w:eastAsia="仿宋" w:cs="仿宋"/>
          <w:sz w:val="32"/>
          <w:szCs w:val="32"/>
          <w:lang w:val="en-US" w:eastAsia="zh-CN"/>
        </w:rPr>
        <w:t>、孕产期和哺乳期的妇女以及需要及时救治的伤病人员等群体给予特殊照顾和安排，并确保相关人员获得医疗救治。县级以上地方人民政府应当公布求助电话等渠道，畅通求助途径，及时向有需求的人员提供帮助。县级以上地方人民政府发布信息时，条件具备的同步采取</w:t>
      </w:r>
      <w:r>
        <w:rPr>
          <w:rFonts w:hint="eastAsia" w:ascii="仿宋" w:hAnsi="仿宋" w:eastAsia="仿宋" w:cs="仿宋"/>
          <w:b/>
          <w:bCs/>
          <w:sz w:val="32"/>
          <w:szCs w:val="32"/>
          <w:lang w:val="en-US" w:eastAsia="zh-CN"/>
        </w:rPr>
        <w:t>无障碍信息交流方式</w:t>
      </w:r>
      <w:r>
        <w:rPr>
          <w:rFonts w:hint="eastAsia" w:ascii="仿宋" w:hAnsi="仿宋" w:eastAsia="仿宋" w:cs="仿宋"/>
          <w:sz w:val="32"/>
          <w:szCs w:val="32"/>
          <w:lang w:val="en-US" w:eastAsia="zh-CN"/>
        </w:rPr>
        <w:t>。”第五十五条第二款规定：“对因参与突发公共卫生事件应急处置致病、</w:t>
      </w:r>
      <w:r>
        <w:rPr>
          <w:rFonts w:hint="eastAsia" w:ascii="仿宋" w:hAnsi="仿宋" w:eastAsia="仿宋" w:cs="仿宋"/>
          <w:b/>
          <w:bCs/>
          <w:sz w:val="32"/>
          <w:szCs w:val="32"/>
          <w:lang w:val="en-US" w:eastAsia="zh-CN"/>
        </w:rPr>
        <w:t>致残</w:t>
      </w:r>
      <w:r>
        <w:rPr>
          <w:rFonts w:hint="eastAsia" w:ascii="仿宋" w:hAnsi="仿宋" w:eastAsia="仿宋" w:cs="仿宋"/>
          <w:sz w:val="32"/>
          <w:szCs w:val="32"/>
          <w:lang w:val="en-US" w:eastAsia="zh-CN"/>
        </w:rPr>
        <w:t>、死亡的人员，按照有关规定落实保障政策。”</w:t>
      </w:r>
    </w:p>
    <w:p w14:paraId="75FE5C9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《中华人民共和国国家公园法》</w:t>
      </w:r>
      <w:r>
        <w:rPr>
          <w:rFonts w:hint="eastAsia" w:ascii="仿宋" w:hAnsi="仿宋" w:eastAsia="仿宋" w:cs="仿宋"/>
          <w:sz w:val="32"/>
          <w:szCs w:val="32"/>
          <w:lang w:val="en-US" w:eastAsia="zh-CN"/>
        </w:rPr>
        <w:t>第四十条第三款规定：“国家公园管理机构应当加强国家公园访客管理和服务，合理确定访客容量，明确访客行为规范，按照国家有关规定提供必要的</w:t>
      </w:r>
      <w:r>
        <w:rPr>
          <w:rFonts w:hint="eastAsia" w:ascii="仿宋" w:hAnsi="仿宋" w:eastAsia="仿宋" w:cs="仿宋"/>
          <w:b/>
          <w:bCs/>
          <w:sz w:val="32"/>
          <w:szCs w:val="32"/>
          <w:lang w:val="en-US" w:eastAsia="zh-CN"/>
        </w:rPr>
        <w:t>无障碍服务</w:t>
      </w:r>
      <w:r>
        <w:rPr>
          <w:rFonts w:hint="eastAsia" w:ascii="仿宋" w:hAnsi="仿宋" w:eastAsia="仿宋" w:cs="仿宋"/>
          <w:sz w:val="32"/>
          <w:szCs w:val="32"/>
          <w:lang w:val="en-US" w:eastAsia="zh-CN"/>
        </w:rPr>
        <w:t>，完善访客安全保障和紧急救助等相关机制。”第四十二条规定：“国家公园区域内利用公共资源建设的景区的门票以及景区内的游览场所、交通工具等另行收费项目，实行政府定价或者政府指导价。前款规定的景区应当按照国家有关规定，对</w:t>
      </w:r>
      <w:r>
        <w:rPr>
          <w:rFonts w:hint="eastAsia" w:ascii="仿宋" w:hAnsi="仿宋" w:eastAsia="仿宋" w:cs="仿宋"/>
          <w:b/>
          <w:bCs/>
          <w:sz w:val="32"/>
          <w:szCs w:val="32"/>
          <w:lang w:val="en-US" w:eastAsia="zh-CN"/>
        </w:rPr>
        <w:t>残疾人</w:t>
      </w:r>
      <w:r>
        <w:rPr>
          <w:rFonts w:hint="eastAsia" w:ascii="仿宋" w:hAnsi="仿宋" w:eastAsia="仿宋" w:cs="仿宋"/>
          <w:sz w:val="32"/>
          <w:szCs w:val="32"/>
          <w:lang w:val="en-US" w:eastAsia="zh-CN"/>
        </w:rPr>
        <w:t>、老年人、未成年人、军人、消防救援人员等特殊群体实行免票或者优惠票价。”</w:t>
      </w:r>
    </w:p>
    <w:p w14:paraId="5761FC6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《中华人民共和国法治宣传教育法》</w:t>
      </w:r>
      <w:r>
        <w:rPr>
          <w:rFonts w:hint="eastAsia" w:ascii="仿宋" w:hAnsi="仿宋" w:eastAsia="仿宋" w:cs="仿宋"/>
          <w:sz w:val="32"/>
          <w:szCs w:val="32"/>
          <w:lang w:val="en-US" w:eastAsia="zh-CN"/>
        </w:rPr>
        <w:t>第二十四条规定：“民政、人力资源社会保障等部门应当根据老年人、</w:t>
      </w:r>
      <w:r>
        <w:rPr>
          <w:rFonts w:hint="eastAsia" w:ascii="仿宋" w:hAnsi="仿宋" w:eastAsia="仿宋" w:cs="仿宋"/>
          <w:b/>
          <w:bCs/>
          <w:sz w:val="32"/>
          <w:szCs w:val="32"/>
          <w:lang w:val="en-US" w:eastAsia="zh-CN"/>
        </w:rPr>
        <w:t>残疾人</w:t>
      </w:r>
      <w:r>
        <w:rPr>
          <w:rFonts w:hint="eastAsia" w:ascii="仿宋" w:hAnsi="仿宋" w:eastAsia="仿宋" w:cs="仿宋"/>
          <w:sz w:val="32"/>
          <w:szCs w:val="32"/>
          <w:lang w:val="en-US" w:eastAsia="zh-CN"/>
        </w:rPr>
        <w:t>、进城务工人员等群体的需求和特点，开展有针对性的法治宣传教育，提高其依法维护自身合法权益的意识和能力。对老年人、</w:t>
      </w:r>
      <w:r>
        <w:rPr>
          <w:rFonts w:hint="eastAsia" w:ascii="仿宋" w:hAnsi="仿宋" w:eastAsia="仿宋" w:cs="仿宋"/>
          <w:b/>
          <w:bCs/>
          <w:sz w:val="32"/>
          <w:szCs w:val="32"/>
          <w:lang w:val="en-US" w:eastAsia="zh-CN"/>
        </w:rPr>
        <w:t>残疾人</w:t>
      </w:r>
      <w:r>
        <w:rPr>
          <w:rFonts w:hint="eastAsia" w:ascii="仿宋" w:hAnsi="仿宋" w:eastAsia="仿宋" w:cs="仿宋"/>
          <w:sz w:val="32"/>
          <w:szCs w:val="32"/>
          <w:lang w:val="en-US" w:eastAsia="zh-CN"/>
        </w:rPr>
        <w:t>开展法治宣传教育，条件具备的同步采取语音、大字、盲文、手语等</w:t>
      </w:r>
      <w:r>
        <w:rPr>
          <w:rFonts w:hint="eastAsia" w:ascii="仿宋" w:hAnsi="仿宋" w:eastAsia="仿宋" w:cs="仿宋"/>
          <w:b/>
          <w:bCs/>
          <w:sz w:val="32"/>
          <w:szCs w:val="32"/>
          <w:lang w:val="en-US" w:eastAsia="zh-CN"/>
        </w:rPr>
        <w:t>无障碍信息交流方式</w:t>
      </w:r>
      <w:r>
        <w:rPr>
          <w:rFonts w:hint="eastAsia" w:ascii="仿宋" w:hAnsi="仿宋" w:eastAsia="仿宋" w:cs="仿宋"/>
          <w:sz w:val="32"/>
          <w:szCs w:val="32"/>
          <w:lang w:val="en-US" w:eastAsia="zh-CN"/>
        </w:rPr>
        <w:t>。”第二十七条规定：“工会、共产主义青年团、妇女联合会、工商业联合会、法学会、</w:t>
      </w:r>
      <w:r>
        <w:rPr>
          <w:rFonts w:hint="eastAsia" w:ascii="仿宋" w:hAnsi="仿宋" w:eastAsia="仿宋" w:cs="仿宋"/>
          <w:b/>
          <w:bCs/>
          <w:sz w:val="32"/>
          <w:szCs w:val="32"/>
          <w:lang w:val="en-US" w:eastAsia="zh-CN"/>
        </w:rPr>
        <w:t>残疾人联合会</w:t>
      </w:r>
      <w:r>
        <w:rPr>
          <w:rFonts w:hint="eastAsia" w:ascii="仿宋" w:hAnsi="仿宋" w:eastAsia="仿宋" w:cs="仿宋"/>
          <w:sz w:val="32"/>
          <w:szCs w:val="32"/>
          <w:lang w:val="en-US" w:eastAsia="zh-CN"/>
        </w:rPr>
        <w:t>等群团组织，应当在各自的职责范围内开展法治宣传教育。”</w:t>
      </w:r>
    </w:p>
    <w:p w14:paraId="7B35F48E">
      <w:pPr>
        <w:keepNext w:val="0"/>
        <w:keepLines w:val="0"/>
        <w:pageBreakBefore w:val="0"/>
        <w:widowControl w:val="0"/>
        <w:kinsoku/>
        <w:wordWrap/>
        <w:overflowPunct/>
        <w:topLinePunct w:val="0"/>
        <w:autoSpaceDE/>
        <w:autoSpaceDN/>
        <w:bidi w:val="0"/>
        <w:adjustRightInd/>
        <w:snapToGrid/>
        <w:ind w:firstLine="643" w:firstLineChars="200"/>
        <w:textAlignment w:val="auto"/>
      </w:pPr>
      <w:r>
        <w:rPr>
          <w:rFonts w:hint="eastAsia" w:ascii="仿宋" w:hAnsi="仿宋" w:eastAsia="仿宋" w:cs="仿宋"/>
          <w:b/>
          <w:bCs/>
          <w:sz w:val="32"/>
          <w:szCs w:val="32"/>
          <w:lang w:val="en-US" w:eastAsia="zh-CN"/>
        </w:rPr>
        <w:t>《中华人民共和国仲裁法》</w:t>
      </w:r>
      <w:r>
        <w:rPr>
          <w:rFonts w:hint="eastAsia" w:ascii="仿宋" w:hAnsi="仿宋" w:eastAsia="仿宋" w:cs="仿宋"/>
          <w:sz w:val="32"/>
          <w:szCs w:val="32"/>
          <w:lang w:val="en-US" w:eastAsia="zh-CN"/>
        </w:rPr>
        <w:t>第二十八条规定：“有下列情形之一的，仲裁协议无效：（一）约定的仲裁事项超出法律规定的仲裁范围；（二）</w:t>
      </w:r>
      <w:r>
        <w:rPr>
          <w:rFonts w:hint="eastAsia" w:ascii="仿宋" w:hAnsi="仿宋" w:eastAsia="仿宋" w:cs="仿宋"/>
          <w:b/>
          <w:bCs/>
          <w:sz w:val="32"/>
          <w:szCs w:val="32"/>
          <w:lang w:val="en-US" w:eastAsia="zh-CN"/>
        </w:rPr>
        <w:t>无民事行为能力人或者限制民事行为能力人</w:t>
      </w:r>
      <w:r>
        <w:rPr>
          <w:rFonts w:hint="eastAsia" w:ascii="仿宋" w:hAnsi="仿宋" w:eastAsia="仿宋" w:cs="仿宋"/>
          <w:sz w:val="32"/>
          <w:szCs w:val="32"/>
          <w:lang w:val="en-US" w:eastAsia="zh-CN"/>
        </w:rPr>
        <w:t>订立的仲裁协议；（三）一方采取胁迫手段，迫使对方订立仲裁协议。”</w:t>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A20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BE6BB7">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path/>
              <v:fill on="f" focussize="0,0"/>
              <v:stroke on="f"/>
              <v:imagedata o:title=""/>
              <o:lock v:ext="edit"/>
              <v:textbox inset="0mm,0mm,0mm,0mm" style="mso-fit-shape-to-text:t;">
                <w:txbxContent>
                  <w:p w14:paraId="5ABE6BB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22E00"/>
    <w:rsid w:val="38F22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2025-09-17T08:41:00Z</dcterms:created>
  <dc:creator></dc:creator>
  <cp:lastModifiedBy></cp:lastModifiedBy>
  <dcterms:modified xsi:type="dcterms:W3CDTF">2025-09-17T08:42:12Z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97D4D0A8A7F14A569FCC0AF190A27E4C_11</vt:lpwstr>
  </property>
  <property fmtid="{D5CDD505-2E9C-101B-9397-08002B2CF9AE}" pid="4" name="KSOTemplateDocerSaveRecord">
    <vt:lpwstr>eyJoZGlkIjoiNGY3MzZkNjFjMzJlMThhNmVkZjk1OWU0N2M3MjlkMzAiLCJ1c2VySWQiOiI5MTI2MzE1MjAifQ==</vt:lpwstr>
  </property>
</Properties>
</file>